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footer1.xml.rels" ContentType="application/vnd.openxmlformats-package.relationships+xml"/>
  <Override PartName="/word/_rels/header1.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document.xml" ContentType="application/vnd.openxmlformats-officedocument.wordprocessingml.document.main+xml"/>
  <Override PartName="/word/media/image2.jpeg" ContentType="image/jpeg"/>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spacing w:before="0" w:after="0"/>
        <w:jc w:val="center"/>
        <w:rPr>
          <w:rFonts w:ascii="Arial" w:hAnsi="Arial" w:cs="Times New Roman"/>
          <w:b/>
          <w:b/>
        </w:rPr>
      </w:pPr>
      <w:r>
        <w:rPr>
          <w:rFonts w:cs="Times New Roman" w:ascii="Arial" w:hAnsi="Arial"/>
          <w:b/>
          <w:sz w:val="32"/>
          <w:szCs w:val="32"/>
        </w:rPr>
        <w:t>LLAMADOS A CONCURSO PARA PROVISIÓN DE CARGOS</w:t>
      </w:r>
    </w:p>
    <w:tbl>
      <w:tblPr>
        <w:tblStyle w:val="Tablaconcuadrcula"/>
        <w:tblW w:w="9324" w:type="dxa"/>
        <w:jc w:val="left"/>
        <w:tblInd w:w="0" w:type="dxa"/>
        <w:tblCellMar>
          <w:top w:w="0" w:type="dxa"/>
          <w:left w:w="108" w:type="dxa"/>
          <w:bottom w:w="0" w:type="dxa"/>
          <w:right w:w="108" w:type="dxa"/>
        </w:tblCellMar>
        <w:tblLook w:noVBand="1" w:val="04a0" w:noHBand="0" w:lastColumn="0" w:firstColumn="1" w:lastRow="0" w:firstRow="1"/>
      </w:tblPr>
      <w:tblGrid>
        <w:gridCol w:w="3245"/>
        <w:gridCol w:w="6078"/>
      </w:tblGrid>
      <w:tr>
        <w:trPr/>
        <w:tc>
          <w:tcPr>
            <w:tcW w:w="3245" w:type="dxa"/>
            <w:tcBorders>
              <w:top w:val="single" w:sz="12" w:space="0" w:color="000000"/>
              <w:left w:val="single" w:sz="12" w:space="0" w:color="000000"/>
            </w:tcBorders>
            <w:shd w:color="auto" w:fill="E8E8E8" w:themeFill="background2" w:val="clear"/>
            <w:vAlign w:val="center"/>
          </w:tcPr>
          <w:p>
            <w:pPr>
              <w:pStyle w:val="Standard"/>
              <w:suppressAutoHyphens w:val="true"/>
              <w:spacing w:before="0" w:after="0"/>
              <w:jc w:val="center"/>
              <w:textAlignment w:val="baseline"/>
              <w:rPr>
                <w:rFonts w:ascii="Arial" w:hAnsi="Arial" w:cs="Times New Roman"/>
                <w:b/>
                <w:b/>
                <w:sz w:val="28"/>
                <w:szCs w:val="28"/>
              </w:rPr>
            </w:pPr>
            <w:r>
              <w:rPr>
                <w:rFonts w:eastAsia="Calibri" w:cs="Times New Roman" w:ascii="Arial" w:hAnsi="Arial"/>
                <w:b/>
                <w:bCs/>
                <w:kern w:val="0"/>
                <w:sz w:val="36"/>
                <w:szCs w:val="36"/>
                <w:lang w:val="es-UY" w:eastAsia="en-US" w:bidi="ar-SA"/>
              </w:rPr>
              <w:t>Formulario C-1</w:t>
            </w:r>
          </w:p>
        </w:tc>
        <w:tc>
          <w:tcPr>
            <w:tcW w:w="6078" w:type="dxa"/>
            <w:tcBorders>
              <w:top w:val="single" w:sz="12" w:space="0" w:color="000000"/>
              <w:left w:val="single" w:sz="12" w:space="0" w:color="000000"/>
              <w:right w:val="single" w:sz="12" w:space="0" w:color="000000"/>
              <w:insideV w:val="single" w:sz="12" w:space="0" w:color="000000"/>
            </w:tcBorders>
            <w:shd w:color="auto" w:fill="F2F2F2" w:themeFill="background1" w:themeFillShade="f2" w:val="clear"/>
            <w:vAlign w:val="center"/>
          </w:tcPr>
          <w:p>
            <w:pPr>
              <w:pStyle w:val="Standard"/>
              <w:suppressAutoHyphens w:val="true"/>
              <w:spacing w:before="0" w:after="0"/>
              <w:jc w:val="center"/>
              <w:textAlignment w:val="baseline"/>
              <w:rPr>
                <w:rFonts w:ascii="Arial" w:hAnsi="Arial" w:cs="Times New Roman"/>
                <w:b/>
                <w:b/>
                <w:sz w:val="28"/>
                <w:szCs w:val="28"/>
              </w:rPr>
            </w:pPr>
            <w:r>
              <w:rPr>
                <w:rFonts w:eastAsia="Calibri" w:cs="Times New Roman" w:ascii="Arial" w:hAnsi="Arial"/>
                <w:b/>
                <w:bCs/>
                <w:kern w:val="0"/>
                <w:sz w:val="36"/>
                <w:szCs w:val="36"/>
                <w:lang w:val="es-UY" w:eastAsia="en-US" w:bidi="ar-SA"/>
              </w:rPr>
              <w:t>BASES GENERALES</w:t>
            </w:r>
          </w:p>
        </w:tc>
      </w:tr>
      <w:tr>
        <w:trPr/>
        <w:tc>
          <w:tcPr>
            <w:tcW w:w="3245" w:type="dxa"/>
            <w:vMerge w:val="restart"/>
            <w:tcBorders>
              <w:top w:val="single" w:sz="12" w:space="0" w:color="000000"/>
              <w:left w:val="single" w:sz="12" w:space="0" w:color="000000"/>
              <w:bottom w:val="single" w:sz="12" w:space="0" w:color="000000"/>
              <w:insideH w:val="single" w:sz="12" w:space="0" w:color="000000"/>
            </w:tcBorders>
            <w:shd w:color="auto" w:fill="E8E8E8" w:themeFill="background2" w:val="clear"/>
            <w:vAlign w:val="center"/>
          </w:tcPr>
          <w:p>
            <w:pPr>
              <w:pStyle w:val="Standard"/>
              <w:suppressAutoHyphens w:val="true"/>
              <w:spacing w:before="0" w:after="0"/>
              <w:jc w:val="center"/>
              <w:textAlignment w:val="baseline"/>
              <w:rPr>
                <w:rFonts w:ascii="Arial" w:hAnsi="Arial" w:cs="Times New Roman"/>
                <w:b/>
                <w:b/>
                <w:sz w:val="28"/>
                <w:szCs w:val="28"/>
              </w:rPr>
            </w:pPr>
            <w:r>
              <w:rPr>
                <w:rFonts w:eastAsia="Calibri" w:cs="Times New Roman" w:ascii="Arial" w:hAnsi="Arial"/>
                <w:b/>
                <w:kern w:val="0"/>
                <w:sz w:val="24"/>
                <w:szCs w:val="24"/>
                <w:lang w:val="es-UY" w:eastAsia="en-US" w:bidi="ar-SA"/>
              </w:rPr>
              <w:t>Conservatorio Deptal. de Música</w:t>
            </w:r>
          </w:p>
        </w:tc>
        <w:tc>
          <w:tcPr>
            <w:tcW w:w="6078" w:type="dxa"/>
            <w:tcBorders>
              <w:left w:val="single" w:sz="12" w:space="0" w:color="000000"/>
              <w:right w:val="single" w:sz="12" w:space="0" w:color="000000"/>
              <w:insideV w:val="single" w:sz="12" w:space="0" w:color="000000"/>
            </w:tcBorders>
            <w:shd w:fill="auto" w:val="clear"/>
            <w:vAlign w:val="center"/>
          </w:tcPr>
          <w:p>
            <w:pPr>
              <w:pStyle w:val="Standard"/>
              <w:suppressAutoHyphens w:val="true"/>
              <w:spacing w:before="0" w:after="0"/>
              <w:jc w:val="center"/>
              <w:textAlignment w:val="baseline"/>
              <w:rPr>
                <w:sz w:val="36"/>
                <w:szCs w:val="36"/>
              </w:rPr>
            </w:pPr>
            <w:r>
              <w:rPr>
                <w:rFonts w:eastAsia="Calibri" w:cs="Times New Roman" w:ascii="Arial" w:hAnsi="Arial"/>
                <w:b/>
                <w:color w:val="EE0000"/>
                <w:kern w:val="0"/>
                <w:sz w:val="36"/>
                <w:szCs w:val="36"/>
                <w:lang w:val="es-UY" w:eastAsia="en-US" w:bidi="ar-SA"/>
              </w:rPr>
              <w:t>Banda y Orquesta Departamental</w:t>
            </w:r>
          </w:p>
        </w:tc>
      </w:tr>
      <w:tr>
        <w:trPr/>
        <w:tc>
          <w:tcPr>
            <w:tcW w:w="3245" w:type="dxa"/>
            <w:vMerge w:val="continue"/>
            <w:tcBorders>
              <w:top w:val="single" w:sz="12" w:space="0" w:color="000000"/>
              <w:left w:val="single" w:sz="12" w:space="0" w:color="000000"/>
              <w:bottom w:val="single" w:sz="12" w:space="0" w:color="000000"/>
              <w:insideH w:val="single" w:sz="12" w:space="0" w:color="000000"/>
            </w:tcBorders>
            <w:shd w:color="auto" w:fill="E8E8E8" w:themeFill="background2" w:val="clear"/>
            <w:vAlign w:val="center"/>
          </w:tcPr>
          <w:p>
            <w:pPr>
              <w:pStyle w:val="Standard"/>
              <w:suppressAutoHyphens w:val="true"/>
              <w:spacing w:before="0" w:after="0"/>
              <w:jc w:val="center"/>
              <w:textAlignment w:val="baseline"/>
              <w:rPr>
                <w:rFonts w:ascii="Arial" w:hAnsi="Arial" w:cs="Times New Roman"/>
                <w:b/>
                <w:b/>
                <w:sz w:val="24"/>
                <w:szCs w:val="24"/>
              </w:rPr>
            </w:pPr>
            <w:r>
              <w:rPr>
                <w:rFonts w:cs="Times New Roman" w:ascii="Arial" w:hAnsi="Arial"/>
                <w:b/>
                <w:sz w:val="24"/>
                <w:szCs w:val="24"/>
              </w:rPr>
            </w:r>
          </w:p>
        </w:tc>
        <w:tc>
          <w:tcPr>
            <w:tcW w:w="6078" w:type="dxa"/>
            <w:tc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cBorders>
            <w:shd w:fill="auto" w:val="clear"/>
            <w:vAlign w:val="center"/>
          </w:tcPr>
          <w:p>
            <w:pPr>
              <w:pStyle w:val="Standard"/>
              <w:suppressAutoHyphens w:val="true"/>
              <w:spacing w:before="0" w:after="0"/>
              <w:jc w:val="center"/>
              <w:textAlignment w:val="baseline"/>
              <w:rPr>
                <w:sz w:val="28"/>
                <w:szCs w:val="28"/>
              </w:rPr>
            </w:pPr>
            <w:r>
              <w:rPr>
                <w:rFonts w:eastAsia="Calibri" w:cs="Times New Roman" w:ascii="Arial" w:hAnsi="Arial"/>
                <w:b/>
                <w:kern w:val="0"/>
                <w:sz w:val="28"/>
                <w:szCs w:val="28"/>
                <w:lang w:val="es-UY" w:eastAsia="en-US" w:bidi="ar-SA"/>
              </w:rPr>
              <w:t>2025-23768</w:t>
            </w:r>
          </w:p>
        </w:tc>
      </w:tr>
    </w:tbl>
    <w:p>
      <w:pPr>
        <w:pStyle w:val="Normal"/>
        <w:rPr/>
      </w:pPr>
      <w:r>
        <w:rPr/>
      </w:r>
    </w:p>
    <w:p>
      <w:pPr>
        <w:pStyle w:val="Ttulo2"/>
        <w:numPr>
          <w:ilvl w:val="0"/>
          <w:numId w:val="5"/>
        </w:numPr>
        <w:ind w:left="284" w:hanging="284"/>
        <w:rPr/>
      </w:pPr>
      <w:r>
        <w:rPr/>
        <w:t>Tiempo de contratación</w:t>
      </w:r>
    </w:p>
    <w:p>
      <w:pPr>
        <w:pStyle w:val="Normal"/>
        <w:rPr/>
      </w:pPr>
      <w:r>
        <w:rPr/>
        <w:t xml:space="preserve">Máximo </w:t>
      </w:r>
      <w:r>
        <w:rPr>
          <w:b/>
          <w:bCs/>
        </w:rPr>
        <w:t>18 meses</w:t>
      </w:r>
      <w:r>
        <w:rPr/>
        <w:t xml:space="preserve"> en régimen de contratos provisorios de 6 meses. Transcurrido dicho plazo y previa evaluación de desempeño, el funcionario podrá ser incorporado en forma definitiva. La Administración podrá rescindir el contrato en caso de evaluación no satisfactoria o razones de mejor servicio.</w:t>
      </w:r>
    </w:p>
    <w:p>
      <w:pPr>
        <w:pStyle w:val="Ttulo2"/>
        <w:numPr>
          <w:ilvl w:val="0"/>
          <w:numId w:val="5"/>
        </w:numPr>
        <w:ind w:left="284" w:hanging="284"/>
        <w:rPr/>
      </w:pPr>
      <w:r>
        <w:rPr/>
        <w:t>Vigencia de la Lista de Prelación</w:t>
      </w:r>
    </w:p>
    <w:p>
      <w:pPr>
        <w:pStyle w:val="Normal"/>
        <w:rPr/>
      </w:pPr>
      <w:r>
        <w:rPr/>
        <w:t xml:space="preserve">La lista de prelación de aquellas personas que cumplan con lo establecido en estas Bases Generales y en las Bases Particulares -a la cual  se recurrirá en caso de generarse nuevas vacantes-, tendrá una vigencia de </w:t>
      </w:r>
      <w:r>
        <w:rPr>
          <w:b/>
          <w:bCs/>
        </w:rPr>
        <w:t>18 meses</w:t>
      </w:r>
      <w:r>
        <w:rPr/>
        <w:t xml:space="preserve"> a partir de la fecha del fallo del Tribunal actuante.</w:t>
      </w:r>
    </w:p>
    <w:p>
      <w:pPr>
        <w:pStyle w:val="Ttulo2"/>
        <w:numPr>
          <w:ilvl w:val="0"/>
          <w:numId w:val="5"/>
        </w:numPr>
        <w:ind w:left="284" w:hanging="284"/>
        <w:rPr/>
      </w:pPr>
      <w:r>
        <w:rPr/>
        <w:t>Personas Afrodescendientes</w:t>
      </w:r>
    </w:p>
    <w:p>
      <w:pPr>
        <w:pStyle w:val="Normal"/>
        <w:rPr/>
      </w:pPr>
      <w:bookmarkStart w:id="0" w:name="__DdeLink__143_1437385470"/>
      <w:r>
        <w:rPr/>
        <w:t>En los llamados públicos que se realicen se destinará el 8% (ocho por ciento) de los puestos de trabajo para ser ocupados por personas afrodescendientes que cumplan con los requisitos constitucionales y legales para acceder a ellos (Ley 19.122).</w:t>
      </w:r>
      <w:bookmarkEnd w:id="0"/>
    </w:p>
    <w:p>
      <w:pPr>
        <w:pStyle w:val="Ttulo2"/>
        <w:numPr>
          <w:ilvl w:val="0"/>
          <w:numId w:val="5"/>
        </w:numPr>
        <w:ind w:left="284" w:hanging="284"/>
        <w:rPr/>
      </w:pPr>
      <w:r>
        <w:rPr/>
        <w:t>Condiciones del Cargo</w:t>
      </w:r>
    </w:p>
    <w:p>
      <w:pPr>
        <w:pStyle w:val="Items"/>
        <w:numPr>
          <w:ilvl w:val="0"/>
          <w:numId w:val="2"/>
        </w:numPr>
        <w:ind w:left="284" w:hanging="284"/>
        <w:rPr/>
      </w:pPr>
      <w:r>
        <w:rPr>
          <w:b/>
        </w:rPr>
        <w:t xml:space="preserve">Horario: </w:t>
      </w:r>
      <w:r>
        <w:rPr/>
        <w:t>el horario será determinado por la Intendencia de Salto.</w:t>
      </w:r>
    </w:p>
    <w:p>
      <w:pPr>
        <w:pStyle w:val="Items"/>
        <w:numPr>
          <w:ilvl w:val="0"/>
          <w:numId w:val="2"/>
        </w:numPr>
        <w:ind w:left="284" w:hanging="284"/>
        <w:rPr/>
      </w:pPr>
      <w:r>
        <w:rPr/>
        <w:t>La permanencia en el sector de ingreso no será menor a 5 años. La Administración se reserva el derecho de determinar turnos y horarios para la prestación de servicio, condición que el postulante tomará especialmente a cargo al momento de la inscripción y cuyo desconocimiento durante la relación de trabajo será causal de cese.</w:t>
      </w:r>
    </w:p>
    <w:p>
      <w:pPr>
        <w:pStyle w:val="Ttulo2"/>
        <w:numPr>
          <w:ilvl w:val="0"/>
          <w:numId w:val="5"/>
        </w:numPr>
        <w:ind w:left="284" w:hanging="284"/>
        <w:rPr/>
      </w:pPr>
      <w:r>
        <w:rPr/>
        <w:t>Requisitos excluyentes</w:t>
      </w:r>
    </w:p>
    <w:p>
      <w:pPr>
        <w:pStyle w:val="Items"/>
        <w:numPr>
          <w:ilvl w:val="0"/>
          <w:numId w:val="3"/>
        </w:numPr>
        <w:spacing w:before="60" w:after="0"/>
        <w:ind w:left="284" w:hanging="284"/>
        <w:rPr/>
      </w:pPr>
      <w:r>
        <w:rPr/>
        <w:t>Cédula de identidad vigente y en buen estado. (fotocopia)</w:t>
      </w:r>
    </w:p>
    <w:p>
      <w:pPr>
        <w:pStyle w:val="Items"/>
        <w:numPr>
          <w:ilvl w:val="0"/>
          <w:numId w:val="3"/>
        </w:numPr>
        <w:spacing w:before="60" w:after="0"/>
        <w:ind w:left="284" w:hanging="284"/>
        <w:rPr/>
      </w:pPr>
      <w:r>
        <w:rPr/>
        <w:t>Ser ciudadano natural, o legal con más de tres años. (fotocopia)</w:t>
      </w:r>
    </w:p>
    <w:p>
      <w:pPr>
        <w:pStyle w:val="Items"/>
        <w:numPr>
          <w:ilvl w:val="0"/>
          <w:numId w:val="3"/>
        </w:numPr>
        <w:spacing w:before="60" w:after="0"/>
        <w:ind w:left="284" w:hanging="284"/>
        <w:rPr/>
      </w:pPr>
      <w:r>
        <w:rPr/>
        <w:t>Credencial Cívica (fotocopia)</w:t>
      </w:r>
    </w:p>
    <w:p>
      <w:pPr>
        <w:pStyle w:val="Items"/>
        <w:numPr>
          <w:ilvl w:val="0"/>
          <w:numId w:val="3"/>
        </w:numPr>
        <w:spacing w:before="60" w:after="0"/>
        <w:ind w:left="284" w:hanging="284"/>
        <w:rPr/>
      </w:pPr>
      <w:r>
        <w:rPr/>
        <w:t>Primaria completa. Presentar comprobante.</w:t>
      </w:r>
    </w:p>
    <w:p>
      <w:pPr>
        <w:pStyle w:val="Items"/>
        <w:numPr>
          <w:ilvl w:val="0"/>
          <w:numId w:val="3"/>
        </w:numPr>
        <w:spacing w:before="60" w:after="0"/>
        <w:ind w:left="284" w:hanging="284"/>
        <w:rPr/>
      </w:pPr>
      <w:r>
        <w:rPr/>
        <w:t>Residencia en Salto. Presentar constancia de domicilio.</w:t>
      </w:r>
    </w:p>
    <w:p>
      <w:pPr>
        <w:pStyle w:val="Items"/>
        <w:numPr>
          <w:ilvl w:val="0"/>
          <w:numId w:val="3"/>
        </w:numPr>
        <w:spacing w:before="60" w:after="0"/>
        <w:ind w:left="284" w:hanging="284"/>
        <w:rPr/>
      </w:pPr>
      <w:r>
        <w:rPr/>
        <w:t>Currículum Vitae, incluyendo estudios cursados relativos al cargo y constancias de formación y laborales.</w:t>
      </w:r>
    </w:p>
    <w:p>
      <w:pPr>
        <w:pStyle w:val="Items"/>
        <w:numPr>
          <w:ilvl w:val="0"/>
          <w:numId w:val="2"/>
        </w:numPr>
        <w:spacing w:before="60" w:after="0"/>
        <w:ind w:left="284" w:hanging="284"/>
        <w:rPr>
          <w:b/>
          <w:b/>
          <w:bCs/>
        </w:rPr>
      </w:pPr>
      <w:r>
        <w:rPr>
          <w:b/>
          <w:bCs/>
        </w:rPr>
        <w:t xml:space="preserve">No será tenido en cuenta por el Tribunal ningún mérito o antecedente que no esté </w:t>
      </w:r>
      <w:r>
        <w:rPr>
          <w:b/>
          <w:bCs/>
          <w:u w:val="single"/>
        </w:rPr>
        <w:t>fehacientemente</w:t>
      </w:r>
      <w:r>
        <w:rPr>
          <w:b/>
          <w:bCs/>
        </w:rPr>
        <w:t xml:space="preserve"> acreditado.</w:t>
      </w:r>
    </w:p>
    <w:p>
      <w:pPr>
        <w:pStyle w:val="Items"/>
        <w:numPr>
          <w:ilvl w:val="0"/>
          <w:numId w:val="2"/>
        </w:numPr>
        <w:spacing w:before="60" w:after="0"/>
        <w:ind w:left="284" w:hanging="284"/>
        <w:rPr/>
      </w:pPr>
      <w:r>
        <w:rPr>
          <w:rFonts w:cs="Times New Roman"/>
          <w:b/>
        </w:rPr>
        <w:t xml:space="preserve">La </w:t>
      </w:r>
      <w:r>
        <w:rPr>
          <w:b/>
          <w:bCs/>
        </w:rPr>
        <w:t>Intendencia</w:t>
      </w:r>
      <w:r>
        <w:rPr>
          <w:rFonts w:cs="Times New Roman"/>
          <w:b/>
        </w:rPr>
        <w:t xml:space="preserve"> de Salto se reserva el derecho de solicitar más documentación en caso de considerarlo necesario.</w:t>
      </w:r>
    </w:p>
    <w:p>
      <w:pPr>
        <w:pStyle w:val="Ttulo2"/>
        <w:numPr>
          <w:ilvl w:val="0"/>
          <w:numId w:val="5"/>
        </w:numPr>
        <w:ind w:left="284" w:hanging="284"/>
        <w:rPr/>
      </w:pPr>
      <w:r>
        <w:rPr/>
        <w:t>Para la Contratación</w:t>
      </w:r>
    </w:p>
    <w:p>
      <w:pPr>
        <w:pStyle w:val="Normal"/>
        <w:rPr/>
      </w:pPr>
      <w:r>
        <w:rPr/>
        <w:t>En caso de resultar designado, para la firma del contrato respectivo, se exigen los siguientes documentos.</w:t>
      </w:r>
    </w:p>
    <w:p>
      <w:pPr>
        <w:pStyle w:val="Items"/>
        <w:numPr>
          <w:ilvl w:val="0"/>
          <w:numId w:val="3"/>
        </w:numPr>
        <w:ind w:left="284" w:hanging="284"/>
        <w:rPr/>
      </w:pPr>
      <w:r>
        <w:rPr/>
        <w:t>Certificado de Buena Conducta.</w:t>
      </w:r>
    </w:p>
    <w:p>
      <w:pPr>
        <w:pStyle w:val="Items"/>
        <w:numPr>
          <w:ilvl w:val="0"/>
          <w:numId w:val="3"/>
        </w:numPr>
        <w:ind w:left="284" w:hanging="284"/>
        <w:rPr/>
      </w:pPr>
      <w:r>
        <w:rPr/>
        <w:t>Certifica</w:t>
      </w:r>
      <w:r>
        <w:rPr>
          <w:rFonts w:cs="Times New Roman"/>
        </w:rPr>
        <w:t>do de no inscripción en el Registro Nacional de violadores y abusadores sexuales (Art. 104 Ley 19.889).</w:t>
      </w:r>
    </w:p>
    <w:p>
      <w:pPr>
        <w:pStyle w:val="Ttulo2"/>
        <w:numPr>
          <w:ilvl w:val="0"/>
          <w:numId w:val="5"/>
        </w:numPr>
        <w:ind w:left="284" w:hanging="284"/>
        <w:rPr/>
      </w:pPr>
      <w:r>
        <w:rPr/>
        <w:t>DECLARACIÓN JURADA</w:t>
      </w:r>
    </w:p>
    <w:p>
      <w:pPr>
        <w:pStyle w:val="Standard"/>
        <w:jc w:val="both"/>
        <w:rPr/>
      </w:pPr>
      <w:r>
        <w:rPr>
          <w:rFonts w:cs="Times New Roman" w:ascii="Arial" w:hAnsi="Arial"/>
          <w:sz w:val="24"/>
          <w:szCs w:val="24"/>
        </w:rPr>
        <w:t xml:space="preserve">Previo a la suscripción del contrato, la persona seleccionada deberá completar y signar </w:t>
      </w:r>
      <w:r>
        <w:rPr>
          <w:rFonts w:cs="Times New Roman" w:ascii="Arial" w:hAnsi="Arial"/>
          <w:sz w:val="24"/>
          <w:szCs w:val="24"/>
          <w:u w:val="single"/>
        </w:rPr>
        <w:t>Declaración Jurada</w:t>
      </w:r>
      <w:r>
        <w:rPr>
          <w:rFonts w:cs="Times New Roman" w:ascii="Arial" w:hAnsi="Arial"/>
          <w:sz w:val="24"/>
          <w:szCs w:val="24"/>
        </w:rPr>
        <w:t xml:space="preserve"> en relación a:</w:t>
      </w:r>
    </w:p>
    <w:p>
      <w:pPr>
        <w:pStyle w:val="Ttulo3"/>
        <w:rPr/>
      </w:pPr>
      <w:r>
        <w:rPr/>
        <w:t>a)</w:t>
        <w:tab/>
        <w:t>Incompatibilidades</w:t>
      </w:r>
    </w:p>
    <w:p>
      <w:pPr>
        <w:pStyle w:val="Standard"/>
        <w:spacing w:before="0" w:after="120"/>
        <w:ind w:left="426" w:hanging="0"/>
        <w:jc w:val="both"/>
        <w:rPr>
          <w:rFonts w:ascii="Arial" w:hAnsi="Arial" w:cs="Times New Roman"/>
          <w:sz w:val="24"/>
          <w:szCs w:val="24"/>
        </w:rPr>
      </w:pPr>
      <w:r>
        <w:rPr>
          <w:rFonts w:cs="Times New Roman" w:ascii="Arial" w:hAnsi="Arial"/>
          <w:sz w:val="24"/>
          <w:szCs w:val="24"/>
        </w:rPr>
        <w:t>Será incompatible con la designación en un cargo en la Intendencia de Salto:</w:t>
      </w:r>
    </w:p>
    <w:p>
      <w:pPr>
        <w:pStyle w:val="Standard"/>
        <w:spacing w:before="0" w:after="120"/>
        <w:ind w:left="709" w:hanging="284"/>
        <w:jc w:val="both"/>
        <w:rPr/>
      </w:pPr>
      <w:r>
        <w:rPr>
          <w:rFonts w:cs="Times New Roman" w:ascii="Arial" w:hAnsi="Arial"/>
          <w:b/>
          <w:sz w:val="24"/>
          <w:szCs w:val="24"/>
        </w:rPr>
        <w:t>1)</w:t>
      </w:r>
      <w:r>
        <w:rPr>
          <w:rFonts w:cs="Times New Roman" w:ascii="Arial" w:hAnsi="Arial"/>
          <w:sz w:val="24"/>
          <w:szCs w:val="24"/>
        </w:rPr>
        <w:tab/>
        <w:t>Mantener vigente otros vínculos con la Administración Pública, excepto aquellos que admitan su acumulación con otros cargos o funciones en virtud de norma jurídica expresa (docencia, atención médica).</w:t>
      </w:r>
    </w:p>
    <w:p>
      <w:pPr>
        <w:pStyle w:val="Standard"/>
        <w:spacing w:before="0" w:after="120"/>
        <w:ind w:left="709" w:hanging="284"/>
        <w:jc w:val="both"/>
        <w:rPr/>
      </w:pPr>
      <w:r>
        <w:rPr>
          <w:rFonts w:cs="Times New Roman" w:ascii="Arial" w:hAnsi="Arial"/>
          <w:b/>
          <w:sz w:val="24"/>
          <w:szCs w:val="24"/>
        </w:rPr>
        <w:t>2)</w:t>
      </w:r>
      <w:r>
        <w:rPr>
          <w:rFonts w:cs="Times New Roman" w:ascii="Arial" w:hAnsi="Arial"/>
          <w:sz w:val="24"/>
          <w:szCs w:val="24"/>
        </w:rPr>
        <w:tab/>
        <w:t>Percibir pasividad, retiro ni subsidio proveniente de actividad pública generada por sí mismo, excepto que se suspenda su percepción o que una norma legal habilite el cobro de ambas remuneraciones.</w:t>
      </w:r>
    </w:p>
    <w:p>
      <w:pPr>
        <w:pStyle w:val="Ttulo3"/>
        <w:rPr/>
      </w:pPr>
      <w:r>
        <w:rPr/>
        <w:t>b)</w:t>
        <w:tab/>
        <w:t>Prohibiciones</w:t>
      </w:r>
    </w:p>
    <w:p>
      <w:pPr>
        <w:pStyle w:val="Standard"/>
        <w:ind w:left="709" w:hanging="284"/>
        <w:jc w:val="both"/>
        <w:rPr/>
      </w:pPr>
      <w:r>
        <w:rPr>
          <w:rFonts w:cs="Times New Roman" w:ascii="Arial" w:hAnsi="Arial"/>
          <w:b/>
          <w:sz w:val="24"/>
          <w:szCs w:val="24"/>
        </w:rPr>
        <w:t>1)</w:t>
        <w:tab/>
      </w:r>
      <w:r>
        <w:rPr>
          <w:rFonts w:cs="Times New Roman" w:ascii="Arial" w:hAnsi="Arial"/>
          <w:b/>
          <w:bCs/>
          <w:sz w:val="24"/>
          <w:szCs w:val="24"/>
        </w:rPr>
        <w:t>Haber sido desvinculado</w:t>
      </w:r>
      <w:r>
        <w:rPr>
          <w:rFonts w:cs="Times New Roman" w:ascii="Arial" w:hAnsi="Arial"/>
          <w:sz w:val="24"/>
          <w:szCs w:val="24"/>
        </w:rPr>
        <w:t>, mediante resolución firme, por la comisión de falta grave administrativa o incumplimiento de sus obligaciones, sea como funcionario público o bajo cualquier otra modalidad de vinculación (Ley Nº 18.172, art. 4 de fecha 31 de agosto de 2007, en la redacción dada por el artículo 10 de la Ley Nº 19.149 de 24 de octubre de 2013).</w:t>
      </w:r>
    </w:p>
    <w:p>
      <w:pPr>
        <w:pStyle w:val="Standard"/>
        <w:ind w:left="709" w:hanging="284"/>
        <w:jc w:val="both"/>
        <w:rPr/>
      </w:pPr>
      <w:r>
        <w:rPr>
          <w:rFonts w:cs="Times New Roman" w:ascii="Arial" w:hAnsi="Arial"/>
          <w:b/>
          <w:sz w:val="24"/>
          <w:szCs w:val="24"/>
        </w:rPr>
        <w:t>2)</w:t>
        <w:tab/>
      </w:r>
      <w:r>
        <w:rPr>
          <w:rFonts w:cs="Times New Roman" w:ascii="Arial" w:hAnsi="Arial"/>
          <w:sz w:val="24"/>
          <w:szCs w:val="24"/>
        </w:rPr>
        <w:t xml:space="preserve">Existencia de inhabilitación como consecuencia de </w:t>
      </w:r>
      <w:r>
        <w:rPr>
          <w:rFonts w:cs="Times New Roman" w:ascii="Arial" w:hAnsi="Arial"/>
          <w:b/>
          <w:bCs/>
          <w:sz w:val="24"/>
          <w:szCs w:val="24"/>
        </w:rPr>
        <w:t>sentencia penal</w:t>
      </w:r>
      <w:r>
        <w:rPr>
          <w:rFonts w:cs="Times New Roman" w:ascii="Arial" w:hAnsi="Arial"/>
          <w:sz w:val="24"/>
          <w:szCs w:val="24"/>
        </w:rPr>
        <w:t xml:space="preserve"> ejecutoriada.</w:t>
      </w:r>
    </w:p>
    <w:p>
      <w:pPr>
        <w:pStyle w:val="Standard"/>
        <w:ind w:left="709" w:hanging="284"/>
        <w:jc w:val="both"/>
        <w:rPr>
          <w:rFonts w:ascii="Arial" w:hAnsi="Arial" w:cs="Times New Roman"/>
          <w:sz w:val="24"/>
          <w:szCs w:val="24"/>
        </w:rPr>
      </w:pPr>
      <w:r>
        <w:rPr>
          <w:rFonts w:cs="Times New Roman" w:ascii="Arial" w:hAnsi="Arial"/>
          <w:b/>
          <w:sz w:val="24"/>
          <w:szCs w:val="24"/>
        </w:rPr>
        <w:t>3)</w:t>
        <w:tab/>
      </w:r>
      <w:r>
        <w:rPr>
          <w:rFonts w:cs="Times New Roman" w:ascii="Arial" w:hAnsi="Arial"/>
          <w:sz w:val="24"/>
          <w:szCs w:val="24"/>
        </w:rPr>
        <w:t xml:space="preserve">Haberse acogido al </w:t>
      </w:r>
      <w:r>
        <w:rPr>
          <w:rFonts w:cs="Times New Roman" w:ascii="Arial" w:hAnsi="Arial"/>
          <w:b/>
          <w:bCs/>
          <w:sz w:val="24"/>
          <w:szCs w:val="24"/>
        </w:rPr>
        <w:t>régimen de retiro incentivado</w:t>
      </w:r>
      <w:r>
        <w:rPr>
          <w:rFonts w:cs="Times New Roman" w:ascii="Arial" w:hAnsi="Arial"/>
          <w:sz w:val="24"/>
          <w:szCs w:val="24"/>
        </w:rPr>
        <w:t xml:space="preserve"> regulado por el artículo 10 la Ley Nº 17.556 de fecha 18 de setiembre de 2002, en la redacción dada por el artículo 1 de la Ley Nº 17.672 de 16 de julio de 2003; ni al establecido por el art. 29 de la Ley Nº 17.930 de fecha 19 de diciembre de 2005, en la redacción dada por el artículo 9 de la Ley Nº 18.172 de 31 de agosto de 2007.</w:t>
      </w:r>
    </w:p>
    <w:p>
      <w:pPr>
        <w:pStyle w:val="Standard"/>
        <w:ind w:left="709" w:hanging="284"/>
        <w:jc w:val="both"/>
        <w:rPr/>
      </w:pPr>
      <w:r>
        <w:rPr/>
      </w:r>
    </w:p>
    <w:p>
      <w:pPr>
        <w:pStyle w:val="Ttulo3"/>
        <w:rPr/>
      </w:pPr>
      <w:r>
        <w:rPr/>
        <w:t>c)</w:t>
        <w:tab/>
        <w:t>Demandas contra la Intendencia de Salto.</w:t>
      </w:r>
    </w:p>
    <w:p>
      <w:pPr>
        <w:pStyle w:val="Standard"/>
        <w:ind w:left="426" w:hanging="1"/>
        <w:jc w:val="both"/>
        <w:rPr>
          <w:bCs/>
        </w:rPr>
      </w:pPr>
      <w:r>
        <w:rPr>
          <w:rFonts w:cs="Times New Roman" w:ascii="Arial" w:hAnsi="Arial"/>
          <w:bCs/>
          <w:sz w:val="24"/>
          <w:szCs w:val="24"/>
        </w:rPr>
        <w:t xml:space="preserve">En forma previa a la contratación deberá suscribir declaración jurada de no </w:t>
      </w:r>
      <w:r>
        <w:rPr>
          <w:rFonts w:cs="Times New Roman" w:ascii="Arial" w:hAnsi="Arial"/>
          <w:sz w:val="24"/>
          <w:szCs w:val="24"/>
        </w:rPr>
        <w:t>mantener</w:t>
      </w:r>
      <w:r>
        <w:rPr>
          <w:rFonts w:cs="Times New Roman" w:ascii="Arial" w:hAnsi="Arial"/>
          <w:bCs/>
          <w:sz w:val="24"/>
          <w:szCs w:val="24"/>
        </w:rPr>
        <w:t xml:space="preserve"> proceso administrativo o judicial de tipo alguno con la Intendencia de Salto.</w:t>
      </w:r>
    </w:p>
    <w:p>
      <w:pPr>
        <w:pStyle w:val="Ttulo2"/>
        <w:numPr>
          <w:ilvl w:val="0"/>
          <w:numId w:val="5"/>
        </w:numPr>
        <w:ind w:left="284" w:hanging="284"/>
        <w:rPr/>
      </w:pPr>
      <w:r>
        <w:rPr/>
        <w:t>Medios de Postulación</w:t>
      </w:r>
    </w:p>
    <w:p>
      <w:pPr>
        <w:pStyle w:val="Items"/>
        <w:numPr>
          <w:ilvl w:val="0"/>
          <w:numId w:val="0"/>
        </w:numPr>
        <w:spacing w:before="0" w:after="120"/>
        <w:ind w:left="0" w:hanging="0"/>
        <w:rPr/>
      </w:pPr>
      <w:r>
        <w:rPr>
          <w:b/>
          <w:bCs/>
        </w:rPr>
        <w:t>1.</w:t>
      </w:r>
      <w:r>
        <w:rPr/>
        <w:t xml:space="preserve"> Inscripción en la </w:t>
      </w:r>
      <w:r>
        <w:rPr>
          <w:b/>
          <w:bCs/>
        </w:rPr>
        <w:t>Página Web</w:t>
      </w:r>
      <w:r>
        <w:rPr/>
        <w:t xml:space="preserve"> de la Intendencia: </w:t>
      </w:r>
      <w:r>
        <w:rPr>
          <w:b/>
          <w:bCs/>
        </w:rPr>
        <w:t>www.salto.gub.uy</w:t>
      </w:r>
      <w:r>
        <w:rPr/>
        <w:t>.</w:t>
      </w:r>
    </w:p>
    <w:p>
      <w:pPr>
        <w:pStyle w:val="Items"/>
        <w:numPr>
          <w:ilvl w:val="0"/>
          <w:numId w:val="0"/>
        </w:numPr>
        <w:spacing w:before="0" w:after="0"/>
        <w:ind w:left="0" w:hanging="0"/>
        <w:rPr/>
      </w:pPr>
      <w:r>
        <w:rPr>
          <w:rFonts w:cs="Times New Roman"/>
          <w:b/>
          <w:bCs/>
        </w:rPr>
        <w:t xml:space="preserve">2. </w:t>
      </w:r>
      <w:r>
        <w:rPr>
          <w:rFonts w:cs="Times New Roman"/>
        </w:rPr>
        <w:t xml:space="preserve">Luego de la inscripción en la web, </w:t>
      </w:r>
      <w:r>
        <w:rPr>
          <w:rFonts w:cs="Times New Roman"/>
          <w:u w:val="single"/>
        </w:rPr>
        <w:t>deberá presentar los documentos</w:t>
      </w:r>
      <w:r>
        <w:rPr>
          <w:rFonts w:cs="Times New Roman"/>
        </w:rPr>
        <w:t xml:space="preserve"> que acrediten los requisitos excluyentes, certificados de cursos realizados y constancias </w:t>
      </w:r>
      <w:r>
        <w:rPr/>
        <w:t>laborales</w:t>
      </w:r>
      <w:r>
        <w:rPr>
          <w:rFonts w:cs="Times New Roman"/>
        </w:rPr>
        <w:t xml:space="preserve"> que se relacionen con la función convocada hasta la fecha indicada en la convocatoria, en la </w:t>
      </w:r>
      <w:r>
        <w:rPr>
          <w:rFonts w:cs="Times New Roman"/>
          <w:b/>
          <w:bCs/>
        </w:rPr>
        <w:t>Oficina de Gestión Humana</w:t>
      </w:r>
      <w:r>
        <w:rPr>
          <w:rFonts w:cs="Times New Roman"/>
        </w:rPr>
        <w:t xml:space="preserve"> (Juan C. Gómez Nº 32) en horario de 8:30 a 15:00.</w:t>
      </w:r>
    </w:p>
    <w:p>
      <w:pPr>
        <w:pStyle w:val="Standard"/>
        <w:jc w:val="both"/>
        <w:rPr>
          <w:rFonts w:ascii="Arial" w:hAnsi="Arial" w:cs="Times New Roman"/>
          <w:b/>
          <w:b/>
          <w:sz w:val="24"/>
          <w:szCs w:val="24"/>
          <w:u w:val="single"/>
        </w:rPr>
      </w:pPr>
      <w:r>
        <w:rPr>
          <w:rFonts w:cs="Times New Roman" w:ascii="Arial" w:hAnsi="Arial"/>
          <w:b/>
          <w:sz w:val="24"/>
          <w:szCs w:val="24"/>
          <w:u w:val="single"/>
        </w:rPr>
        <w:t>Se debe presentar toda la documentación en sobre cerrado, indicando: Llamado al que se postula, Número de Inscripción y Nombres.</w:t>
      </w:r>
    </w:p>
    <w:p>
      <w:pPr>
        <w:pStyle w:val="Standard"/>
        <w:jc w:val="both"/>
        <w:rPr>
          <w:rFonts w:ascii="Arial" w:hAnsi="Arial" w:cs="Times New Roman"/>
          <w:b/>
          <w:b/>
          <w:sz w:val="24"/>
          <w:szCs w:val="24"/>
          <w:u w:val="single"/>
        </w:rPr>
      </w:pPr>
      <w:r>
        <w:rPr>
          <w:rFonts w:cs="Times New Roman" w:ascii="Arial" w:hAnsi="Arial"/>
          <w:b/>
          <w:sz w:val="24"/>
          <w:szCs w:val="24"/>
          <w:u w:val="single"/>
        </w:rPr>
        <w:t>No se recibirá documentación fuera del plazo establecido para su presentación .</w:t>
      </w:r>
    </w:p>
    <w:p>
      <w:pPr>
        <w:pStyle w:val="Ttulo2"/>
        <w:numPr>
          <w:ilvl w:val="0"/>
          <w:numId w:val="5"/>
        </w:numPr>
        <w:spacing w:before="360" w:after="0"/>
        <w:ind w:left="284" w:hanging="284"/>
        <w:rPr/>
      </w:pPr>
      <w:r>
        <w:rPr/>
        <w:t>PROCESO DE SELECCIÓN</w:t>
      </w:r>
    </w:p>
    <w:p>
      <w:pPr>
        <w:pStyle w:val="Ttulo3"/>
        <w:numPr>
          <w:ilvl w:val="0"/>
          <w:numId w:val="4"/>
        </w:numPr>
        <w:ind w:left="284" w:hanging="284"/>
        <w:rPr/>
      </w:pPr>
      <w:r>
        <w:rPr/>
        <w:t>Tribunal de Evaluación</w:t>
      </w:r>
    </w:p>
    <w:p>
      <w:pPr>
        <w:pStyle w:val="Normal"/>
        <w:rPr>
          <w:rFonts w:ascii="Calibri" w:hAnsi="Calibri" w:cs="F"/>
          <w:sz w:val="22"/>
          <w:szCs w:val="22"/>
        </w:rPr>
      </w:pPr>
      <w:r>
        <w:rPr/>
        <w:t xml:space="preserve">Mediante Resolución se designará un Tribunal que estará integrado por un representante de </w:t>
      </w:r>
      <w:r>
        <w:rPr>
          <w:b/>
          <w:bCs/>
        </w:rPr>
        <w:t>Gestión Humana</w:t>
      </w:r>
      <w:r>
        <w:rPr/>
        <w:t xml:space="preserve"> de la Intendencia de Salto, un representante del área de la IdeS involucrada en el presente llamado y un delegado del sindicato de funcionarios (ADEOMS). En caso del así considerarlo, el Tribunal podrá solicitar el asesoramiento o participación de técnicos o profesionales con probada idoneidad y competencia.</w:t>
      </w:r>
    </w:p>
    <w:p>
      <w:pPr>
        <w:pStyle w:val="Ttulo3"/>
        <w:numPr>
          <w:ilvl w:val="0"/>
          <w:numId w:val="4"/>
        </w:numPr>
        <w:ind w:left="284" w:hanging="284"/>
        <w:rPr/>
      </w:pPr>
      <w:r>
        <w:rPr/>
        <w:t>Preselección - Requisitos Excluyentes</w:t>
      </w:r>
    </w:p>
    <w:p>
      <w:pPr>
        <w:pStyle w:val="Standard"/>
        <w:spacing w:before="0" w:after="120"/>
        <w:jc w:val="both"/>
        <w:rPr>
          <w:rFonts w:ascii="Arial" w:hAnsi="Arial" w:cs="Times New Roman"/>
          <w:sz w:val="24"/>
          <w:szCs w:val="24"/>
        </w:rPr>
      </w:pPr>
      <w:r>
        <w:rPr>
          <w:rFonts w:cs="Times New Roman" w:ascii="Arial" w:hAnsi="Arial"/>
          <w:sz w:val="24"/>
          <w:szCs w:val="24"/>
        </w:rPr>
        <w:t>En primera instancia, se evaluará el cumplimiento de los requisitos excluyentes solicitados.</w:t>
      </w:r>
    </w:p>
    <w:p>
      <w:pPr>
        <w:pStyle w:val="Ttulo3"/>
        <w:numPr>
          <w:ilvl w:val="0"/>
          <w:numId w:val="4"/>
        </w:numPr>
        <w:ind w:left="284" w:hanging="284"/>
        <w:rPr/>
      </w:pPr>
      <w:r>
        <w:rPr/>
        <w:t>Evaluación de Méritos y Antecedentes</w:t>
      </w:r>
    </w:p>
    <w:p>
      <w:pPr>
        <w:pStyle w:val="Standard"/>
        <w:spacing w:before="120" w:after="0"/>
        <w:rPr>
          <w:b/>
          <w:b/>
          <w:u w:val="single"/>
        </w:rPr>
      </w:pPr>
      <w:r>
        <w:rPr>
          <w:rFonts w:cs="Times New Roman" w:ascii="Arial" w:hAnsi="Arial"/>
          <w:b/>
          <w:sz w:val="24"/>
          <w:szCs w:val="24"/>
          <w:u w:val="single"/>
        </w:rPr>
        <w:t>Factores a Considerar</w:t>
      </w:r>
    </w:p>
    <w:p>
      <w:pPr>
        <w:pStyle w:val="Standard"/>
        <w:spacing w:before="0" w:after="0"/>
        <w:jc w:val="both"/>
        <w:rPr>
          <w:rFonts w:ascii="Arial" w:hAnsi="Arial" w:cs="Times New Roman"/>
          <w:sz w:val="24"/>
          <w:szCs w:val="24"/>
        </w:rPr>
      </w:pPr>
      <w:r>
        <w:rPr>
          <w:rFonts w:cs="Times New Roman" w:ascii="Arial" w:hAnsi="Arial"/>
          <w:sz w:val="24"/>
          <w:szCs w:val="24"/>
        </w:rPr>
        <w:t xml:space="preserve">Se evaluarán los méritos generales y los particulares. </w:t>
      </w:r>
    </w:p>
    <w:p>
      <w:pPr>
        <w:pStyle w:val="Standard"/>
        <w:spacing w:before="0" w:after="0"/>
        <w:jc w:val="both"/>
        <w:rPr>
          <w:rFonts w:ascii="Arial" w:hAnsi="Arial" w:cs="Times New Roman"/>
          <w:sz w:val="24"/>
          <w:szCs w:val="24"/>
        </w:rPr>
      </w:pPr>
      <w:r>
        <w:rPr>
          <w:rFonts w:cs="Times New Roman" w:ascii="Arial" w:hAnsi="Arial"/>
          <w:sz w:val="24"/>
          <w:szCs w:val="24"/>
        </w:rPr>
        <w:t>Para ello, el Tribunal considerará los factores de evaluación que se señalan a continuación para establecer el puntaje de los candidatos.</w:t>
      </w:r>
    </w:p>
    <w:p>
      <w:pPr>
        <w:pStyle w:val="Standard"/>
        <w:spacing w:before="120" w:after="0"/>
        <w:jc w:val="both"/>
        <w:rPr/>
      </w:pPr>
      <w:r>
        <w:rPr>
          <w:rFonts w:cs="Times New Roman" w:ascii="Arial" w:hAnsi="Arial"/>
          <w:b/>
          <w:bCs/>
          <w:sz w:val="24"/>
          <w:szCs w:val="24"/>
        </w:rPr>
        <w:t>En todos los casos, el máximo posible será 100 puntos.</w:t>
      </w:r>
    </w:p>
    <w:p>
      <w:pPr>
        <w:pStyle w:val="Normal"/>
        <w:spacing w:lineRule="auto" w:line="240"/>
        <w:jc w:val="left"/>
        <w:rPr>
          <w:rFonts w:cs="Times New Roman"/>
          <w:bCs/>
          <w:lang w:eastAsia="en-US"/>
        </w:rPr>
      </w:pPr>
      <w:r>
        <w:rPr>
          <w:rFonts w:cs="Times New Roman"/>
          <w:bCs/>
          <w:lang w:eastAsia="en-US"/>
        </w:rPr>
      </w:r>
    </w:p>
    <w:p>
      <w:pPr>
        <w:pStyle w:val="Standard"/>
        <w:numPr>
          <w:ilvl w:val="0"/>
          <w:numId w:val="1"/>
        </w:numPr>
        <w:suppressAutoHyphens w:val="false"/>
        <w:spacing w:lineRule="auto" w:line="240" w:before="0" w:after="120"/>
        <w:ind w:left="284" w:hanging="284"/>
        <w:jc w:val="both"/>
        <w:rPr/>
      </w:pPr>
      <w:r>
        <w:rPr>
          <w:rFonts w:cs="Times New Roman" w:ascii="Arial" w:hAnsi="Arial"/>
          <w:b/>
          <w:sz w:val="24"/>
          <w:szCs w:val="24"/>
          <w:u w:val="single"/>
        </w:rPr>
        <w:t>Educación Formal</w:t>
      </w:r>
      <w:r>
        <w:rPr>
          <w:rFonts w:cs="Times New Roman" w:ascii="Arial" w:hAnsi="Arial"/>
          <w:b/>
          <w:sz w:val="24"/>
          <w:szCs w:val="24"/>
        </w:rPr>
        <w:t>.</w:t>
      </w:r>
    </w:p>
    <w:p>
      <w:pPr>
        <w:pStyle w:val="Ttulo3"/>
        <w:spacing w:before="120" w:after="120"/>
        <w:ind w:left="284" w:hanging="0"/>
        <w:rPr>
          <w:b w:val="false"/>
          <w:b w:val="false"/>
          <w:i/>
          <w:i/>
          <w:iCs/>
          <w:sz w:val="24"/>
          <w:szCs w:val="24"/>
        </w:rPr>
      </w:pPr>
      <w:r>
        <w:rPr>
          <w:b w:val="false"/>
          <w:i/>
          <w:iCs/>
          <w:sz w:val="24"/>
          <w:szCs w:val="24"/>
        </w:rPr>
        <w:t>Puntaje máximo 15 puntos</w:t>
      </w:r>
    </w:p>
    <w:p>
      <w:pPr>
        <w:pStyle w:val="Standard"/>
        <w:numPr>
          <w:ilvl w:val="0"/>
          <w:numId w:val="1"/>
        </w:numPr>
        <w:suppressAutoHyphens w:val="false"/>
        <w:spacing w:lineRule="auto" w:line="240" w:before="0" w:after="120"/>
        <w:ind w:left="284" w:hanging="284"/>
        <w:jc w:val="both"/>
        <w:rPr/>
      </w:pPr>
      <w:r>
        <w:rPr>
          <w:rFonts w:cs="Times New Roman" w:ascii="Arial" w:hAnsi="Arial"/>
          <w:b/>
          <w:sz w:val="24"/>
          <w:szCs w:val="24"/>
          <w:u w:val="single"/>
        </w:rPr>
        <w:t>Antecedentes laborales.</w:t>
      </w:r>
    </w:p>
    <w:p>
      <w:pPr>
        <w:pStyle w:val="Ttulo3"/>
        <w:spacing w:before="0" w:after="0"/>
        <w:ind w:left="284" w:hanging="0"/>
        <w:rPr>
          <w:b w:val="false"/>
          <w:b w:val="false"/>
          <w:i/>
          <w:i/>
          <w:iCs/>
          <w:sz w:val="24"/>
          <w:szCs w:val="24"/>
        </w:rPr>
      </w:pPr>
      <w:r>
        <w:rPr>
          <w:b w:val="false"/>
          <w:i/>
          <w:iCs/>
          <w:sz w:val="24"/>
          <w:szCs w:val="24"/>
        </w:rPr>
        <w:t>Puntaje máximo 25 puntos.</w:t>
      </w:r>
    </w:p>
    <w:p>
      <w:pPr>
        <w:pStyle w:val="Standard"/>
        <w:spacing w:before="0" w:after="0"/>
        <w:ind w:left="284" w:hanging="0"/>
        <w:jc w:val="both"/>
        <w:rPr/>
      </w:pPr>
      <w:r>
        <w:rPr>
          <w:rFonts w:cs="Times New Roman" w:ascii="Arial" w:hAnsi="Arial"/>
          <w:sz w:val="24"/>
          <w:szCs w:val="24"/>
        </w:rPr>
        <w:t xml:space="preserve">Se medirán los antecedentes </w:t>
      </w:r>
      <w:r>
        <w:rPr>
          <w:rFonts w:cs="Times New Roman" w:ascii="Arial" w:hAnsi="Arial"/>
          <w:b/>
          <w:sz w:val="24"/>
          <w:szCs w:val="24"/>
          <w:u w:val="single"/>
        </w:rPr>
        <w:t>que tengan directa relación con la función convocada</w:t>
      </w:r>
      <w:r>
        <w:rPr>
          <w:rFonts w:cs="Times New Roman" w:ascii="Arial" w:hAnsi="Arial"/>
          <w:sz w:val="24"/>
          <w:szCs w:val="24"/>
        </w:rPr>
        <w:t>. Se deberá presentar constancia escrita en cada empresa o institución donde se hayan desempeñado tareas.</w:t>
      </w:r>
    </w:p>
    <w:p>
      <w:pPr>
        <w:pStyle w:val="Standard"/>
        <w:ind w:left="284" w:hanging="0"/>
        <w:jc w:val="both"/>
        <w:rPr>
          <w:rFonts w:ascii="Arial" w:hAnsi="Arial" w:cs="Times New Roman"/>
          <w:b/>
          <w:b/>
          <w:sz w:val="24"/>
          <w:szCs w:val="24"/>
        </w:rPr>
      </w:pPr>
      <w:r>
        <w:rPr>
          <w:rFonts w:cs="Times New Roman" w:ascii="Arial" w:hAnsi="Arial"/>
          <w:b/>
          <w:sz w:val="24"/>
          <w:szCs w:val="24"/>
        </w:rPr>
        <w:t>No se tendrán en cuenta méritos o antecedentes no fehacientemente acreditados.</w:t>
      </w:r>
    </w:p>
    <w:p>
      <w:pPr>
        <w:pStyle w:val="Standard"/>
        <w:numPr>
          <w:ilvl w:val="0"/>
          <w:numId w:val="1"/>
        </w:numPr>
        <w:suppressAutoHyphens w:val="false"/>
        <w:spacing w:lineRule="auto" w:line="240" w:before="0" w:after="120"/>
        <w:ind w:left="284" w:hanging="284"/>
        <w:jc w:val="both"/>
        <w:rPr/>
      </w:pPr>
      <w:r>
        <w:rPr>
          <w:rFonts w:cs="Times New Roman" w:ascii="Arial" w:hAnsi="Arial"/>
          <w:b/>
          <w:sz w:val="24"/>
          <w:szCs w:val="24"/>
          <w:u w:val="single"/>
        </w:rPr>
        <w:t>Prueba Práctica</w:t>
      </w:r>
    </w:p>
    <w:p>
      <w:pPr>
        <w:pStyle w:val="Ttulo3"/>
        <w:spacing w:before="0" w:after="0"/>
        <w:ind w:left="284" w:hanging="0"/>
        <w:rPr>
          <w:b w:val="false"/>
          <w:b w:val="false"/>
          <w:i/>
          <w:i/>
          <w:iCs/>
        </w:rPr>
      </w:pPr>
      <w:r>
        <w:rPr>
          <w:b w:val="false"/>
          <w:i/>
          <w:iCs/>
          <w:sz w:val="24"/>
          <w:szCs w:val="24"/>
        </w:rPr>
        <w:t>Puntaje máximo 30 puntos.</w:t>
      </w:r>
    </w:p>
    <w:p>
      <w:pPr>
        <w:pStyle w:val="Standard"/>
        <w:spacing w:before="0" w:after="120"/>
        <w:ind w:left="284" w:hanging="0"/>
        <w:jc w:val="both"/>
        <w:rPr/>
      </w:pPr>
      <w:r>
        <w:rPr>
          <w:rFonts w:cs="Times New Roman" w:ascii="Arial" w:hAnsi="Arial"/>
          <w:sz w:val="24"/>
          <w:szCs w:val="24"/>
        </w:rPr>
        <w:t xml:space="preserve">A aquellos postulantes que superen el mínimo de </w:t>
      </w:r>
      <w:r>
        <w:rPr>
          <w:rFonts w:cs="Times New Roman" w:ascii="Arial" w:hAnsi="Arial"/>
          <w:b/>
          <w:bCs/>
          <w:sz w:val="24"/>
          <w:szCs w:val="24"/>
        </w:rPr>
        <w:t>28</w:t>
      </w:r>
      <w:r>
        <w:rPr>
          <w:rFonts w:cs="Times New Roman" w:ascii="Arial" w:hAnsi="Arial"/>
          <w:b/>
          <w:bCs/>
          <w:sz w:val="24"/>
          <w:szCs w:val="24"/>
        </w:rPr>
        <w:t xml:space="preserve"> puntos</w:t>
      </w:r>
      <w:r>
        <w:rPr>
          <w:rFonts w:cs="Times New Roman" w:ascii="Arial" w:hAnsi="Arial"/>
          <w:sz w:val="24"/>
          <w:szCs w:val="24"/>
        </w:rPr>
        <w:t xml:space="preserve"> en </w:t>
      </w:r>
      <w:r>
        <w:rPr>
          <w:rFonts w:cs="Times New Roman" w:ascii="Arial" w:hAnsi="Arial"/>
          <w:sz w:val="24"/>
          <w:szCs w:val="24"/>
          <w:u w:val="single"/>
        </w:rPr>
        <w:t>Evaluación de Méritos y Antecedentes</w:t>
      </w:r>
      <w:r>
        <w:rPr>
          <w:rFonts w:cs="Times New Roman" w:ascii="Arial" w:hAnsi="Arial"/>
          <w:sz w:val="24"/>
          <w:szCs w:val="24"/>
        </w:rPr>
        <w:t xml:space="preserve">, se les tomará la </w:t>
      </w:r>
      <w:r>
        <w:rPr>
          <w:rFonts w:cs="Times New Roman" w:ascii="Arial" w:hAnsi="Arial"/>
          <w:b/>
          <w:bCs/>
          <w:sz w:val="24"/>
          <w:szCs w:val="24"/>
        </w:rPr>
        <w:t>Prueba Práctica.</w:t>
      </w:r>
    </w:p>
    <w:p>
      <w:pPr>
        <w:pStyle w:val="Standard"/>
        <w:spacing w:before="0" w:after="120"/>
        <w:ind w:left="284" w:hanging="0"/>
        <w:jc w:val="both"/>
        <w:rPr>
          <w:rFonts w:ascii="Arial" w:hAnsi="Arial" w:cs="Times New Roman"/>
          <w:sz w:val="24"/>
          <w:szCs w:val="24"/>
        </w:rPr>
      </w:pPr>
      <w:r>
        <w:rPr>
          <w:rFonts w:cs="Times New Roman" w:ascii="Arial" w:hAnsi="Arial"/>
          <w:sz w:val="24"/>
          <w:szCs w:val="24"/>
        </w:rPr>
        <w:t>La</w:t>
      </w:r>
      <w:r>
        <w:rPr/>
        <w:t xml:space="preserve"> </w:t>
      </w:r>
      <w:r>
        <w:rPr>
          <w:rFonts w:cs="Times New Roman" w:ascii="Arial" w:hAnsi="Arial"/>
          <w:sz w:val="24"/>
          <w:szCs w:val="24"/>
        </w:rPr>
        <w:t>prueba práctica constará de tres instancias:</w:t>
      </w:r>
    </w:p>
    <w:p>
      <w:pPr>
        <w:pStyle w:val="Standard"/>
        <w:numPr>
          <w:ilvl w:val="0"/>
          <w:numId w:val="6"/>
        </w:numPr>
        <w:spacing w:before="0" w:after="120"/>
        <w:ind w:left="709" w:hanging="65"/>
        <w:jc w:val="both"/>
        <w:rPr>
          <w:rFonts w:ascii="Arial" w:hAnsi="Arial" w:cs="Times New Roman"/>
          <w:sz w:val="24"/>
          <w:szCs w:val="24"/>
        </w:rPr>
      </w:pPr>
      <w:r>
        <w:rPr>
          <w:rFonts w:cs="Times New Roman" w:ascii="Arial" w:hAnsi="Arial"/>
          <w:sz w:val="24"/>
          <w:szCs w:val="24"/>
        </w:rPr>
        <w:t>Lectura rítmica y solfeo rezado (Menozzi): (10 puntos)</w:t>
      </w:r>
    </w:p>
    <w:p>
      <w:pPr>
        <w:pStyle w:val="Standard"/>
        <w:numPr>
          <w:ilvl w:val="0"/>
          <w:numId w:val="6"/>
        </w:numPr>
        <w:spacing w:before="0" w:after="120"/>
        <w:ind w:left="709" w:hanging="65"/>
        <w:jc w:val="both"/>
        <w:rPr>
          <w:rFonts w:ascii="Arial" w:hAnsi="Arial" w:cs="Times New Roman"/>
          <w:sz w:val="24"/>
          <w:szCs w:val="24"/>
        </w:rPr>
      </w:pPr>
      <w:r>
        <w:rPr>
          <w:rFonts w:cs="Times New Roman" w:ascii="Arial" w:hAnsi="Arial"/>
          <w:sz w:val="24"/>
          <w:szCs w:val="24"/>
        </w:rPr>
        <w:t xml:space="preserve">Interpretación instrumental individual: a) Ejecución de una obra a elección del postulado. (12 puntos); b) Ejecución de una obra o ejercicio a elección del jurado, otorgándose al aspirante 15 minutos para su estudio previo. (10 puntos) </w:t>
      </w:r>
    </w:p>
    <w:p>
      <w:pPr>
        <w:pStyle w:val="Standard"/>
        <w:numPr>
          <w:ilvl w:val="0"/>
          <w:numId w:val="6"/>
        </w:numPr>
        <w:spacing w:before="0" w:after="120"/>
        <w:ind w:left="709" w:hanging="65"/>
        <w:jc w:val="both"/>
        <w:rPr/>
      </w:pPr>
      <w:r>
        <w:rPr>
          <w:rFonts w:cs="Times New Roman" w:ascii="Arial" w:hAnsi="Arial"/>
          <w:sz w:val="24"/>
          <w:szCs w:val="24"/>
        </w:rPr>
        <w:t>Ejecución de tres obras de diferentes estilos rítmicos, ellas serán seleccionadas por el jurado y acompañadas por la Orquesta Departamental, en las que se evaluará, lectura, interpretación y técnica de improvisación en los casos se considere necesario. Se otorgarán 30 minutos de preparación a cada postulante. (35 puntos)</w:t>
      </w:r>
      <w:r>
        <w:rPr/>
        <w:t xml:space="preserve"> </w:t>
      </w:r>
    </w:p>
    <w:p>
      <w:pPr>
        <w:pStyle w:val="Standard"/>
        <w:numPr>
          <w:ilvl w:val="0"/>
          <w:numId w:val="1"/>
        </w:numPr>
        <w:suppressAutoHyphens w:val="false"/>
        <w:spacing w:lineRule="auto" w:line="240" w:before="0" w:after="120"/>
        <w:ind w:left="284" w:hanging="284"/>
        <w:jc w:val="both"/>
        <w:rPr>
          <w:rFonts w:ascii="Arial" w:hAnsi="Arial" w:cs="Times New Roman"/>
          <w:b/>
          <w:b/>
          <w:sz w:val="24"/>
          <w:szCs w:val="24"/>
          <w:u w:val="single"/>
        </w:rPr>
      </w:pPr>
      <w:r>
        <w:rPr>
          <w:rFonts w:cs="Times New Roman" w:ascii="Arial" w:hAnsi="Arial"/>
          <w:b/>
          <w:sz w:val="24"/>
          <w:szCs w:val="24"/>
          <w:u w:val="single"/>
        </w:rPr>
        <w:t>Entrevista con el Tribunal</w:t>
      </w:r>
    </w:p>
    <w:p>
      <w:pPr>
        <w:pStyle w:val="Ttulo3"/>
        <w:spacing w:before="0" w:after="0"/>
        <w:ind w:left="284" w:hanging="0"/>
        <w:rPr>
          <w:b w:val="false"/>
          <w:b w:val="false"/>
          <w:i/>
          <w:i/>
          <w:iCs/>
        </w:rPr>
      </w:pPr>
      <w:r>
        <w:rPr>
          <w:b w:val="false"/>
          <w:i/>
          <w:iCs/>
          <w:sz w:val="24"/>
          <w:szCs w:val="24"/>
        </w:rPr>
        <w:t>Puntaje máximo 30 puntos.</w:t>
      </w:r>
    </w:p>
    <w:p>
      <w:pPr>
        <w:pStyle w:val="Standard"/>
        <w:spacing w:before="0" w:after="120"/>
        <w:ind w:left="284" w:hanging="0"/>
        <w:jc w:val="both"/>
        <w:rPr/>
      </w:pPr>
      <w:r>
        <w:rPr>
          <w:rFonts w:cs="Times New Roman" w:ascii="Arial" w:hAnsi="Arial"/>
          <w:sz w:val="24"/>
          <w:szCs w:val="24"/>
        </w:rPr>
        <w:t xml:space="preserve">A aquellos postulantes que superen el mínimo de </w:t>
      </w:r>
      <w:r>
        <w:rPr>
          <w:rFonts w:cs="Times New Roman" w:ascii="Arial" w:hAnsi="Arial"/>
          <w:b/>
          <w:bCs/>
          <w:sz w:val="24"/>
          <w:szCs w:val="24"/>
        </w:rPr>
        <w:t>60</w:t>
      </w:r>
      <w:r>
        <w:rPr>
          <w:rFonts w:cs="Times New Roman" w:ascii="Arial" w:hAnsi="Arial"/>
          <w:b/>
          <w:bCs/>
          <w:sz w:val="24"/>
          <w:szCs w:val="24"/>
        </w:rPr>
        <w:t xml:space="preserve"> puntos</w:t>
      </w:r>
      <w:r>
        <w:rPr>
          <w:rFonts w:cs="Times New Roman" w:ascii="Arial" w:hAnsi="Arial"/>
          <w:sz w:val="24"/>
          <w:szCs w:val="24"/>
        </w:rPr>
        <w:t xml:space="preserve"> incluyendo </w:t>
      </w:r>
      <w:r>
        <w:rPr>
          <w:rFonts w:cs="Times New Roman" w:ascii="Arial" w:hAnsi="Arial"/>
          <w:sz w:val="24"/>
          <w:szCs w:val="24"/>
          <w:u w:val="single"/>
        </w:rPr>
        <w:t>todas las etapas anteriores</w:t>
      </w:r>
      <w:r>
        <w:rPr>
          <w:rFonts w:cs="Times New Roman" w:ascii="Arial" w:hAnsi="Arial"/>
          <w:sz w:val="24"/>
          <w:szCs w:val="24"/>
        </w:rPr>
        <w:t xml:space="preserve">, realizarán la </w:t>
      </w:r>
      <w:r>
        <w:rPr>
          <w:rFonts w:cs="Times New Roman" w:ascii="Arial" w:hAnsi="Arial"/>
          <w:b/>
          <w:bCs/>
          <w:sz w:val="24"/>
          <w:szCs w:val="24"/>
        </w:rPr>
        <w:t>Entrevista Personal</w:t>
      </w:r>
      <w:r>
        <w:rPr>
          <w:rFonts w:cs="Times New Roman" w:ascii="Arial" w:hAnsi="Arial"/>
          <w:sz w:val="24"/>
          <w:szCs w:val="24"/>
        </w:rPr>
        <w:t xml:space="preserve"> con el Tribunal</w:t>
      </w:r>
      <w:r>
        <w:rPr>
          <w:rFonts w:cs="Times New Roman" w:ascii="Arial" w:hAnsi="Arial"/>
          <w:b/>
          <w:bCs/>
          <w:sz w:val="24"/>
          <w:szCs w:val="24"/>
        </w:rPr>
        <w:t>.</w:t>
      </w:r>
    </w:p>
    <w:p>
      <w:pPr>
        <w:pStyle w:val="Standard"/>
        <w:spacing w:before="240" w:after="120"/>
        <w:ind w:left="284" w:hanging="0"/>
        <w:jc w:val="both"/>
        <w:rPr/>
      </w:pPr>
      <w:r>
        <w:rPr>
          <w:rFonts w:cs="Times New Roman" w:ascii="Arial" w:hAnsi="Arial"/>
          <w:b/>
          <w:sz w:val="24"/>
          <w:szCs w:val="24"/>
          <w:u w:val="single"/>
        </w:rPr>
        <w:t>Orden de Prelación</w:t>
      </w:r>
    </w:p>
    <w:p>
      <w:pPr>
        <w:pStyle w:val="Standard"/>
        <w:spacing w:before="0" w:after="120"/>
        <w:ind w:left="284" w:hanging="0"/>
        <w:jc w:val="both"/>
        <w:rPr/>
      </w:pPr>
      <w:r>
        <w:rPr>
          <w:rFonts w:cs="Times New Roman" w:ascii="Arial" w:hAnsi="Arial"/>
          <w:sz w:val="24"/>
          <w:szCs w:val="24"/>
        </w:rPr>
        <w:t xml:space="preserve">Se confeccionará un </w:t>
      </w:r>
      <w:r>
        <w:rPr>
          <w:rFonts w:cs="Times New Roman" w:ascii="Arial" w:hAnsi="Arial"/>
          <w:sz w:val="24"/>
          <w:szCs w:val="24"/>
          <w:u w:val="single"/>
        </w:rPr>
        <w:t>orden de prelación</w:t>
      </w:r>
      <w:r>
        <w:rPr>
          <w:rFonts w:cs="Times New Roman" w:ascii="Arial" w:hAnsi="Arial"/>
          <w:sz w:val="24"/>
          <w:szCs w:val="24"/>
        </w:rPr>
        <w:t xml:space="preserve"> al cual se recurrirá en caso de generarse nuevas vacantes.</w:t>
      </w:r>
    </w:p>
    <w:p>
      <w:pPr>
        <w:pStyle w:val="Standard"/>
        <w:pBdr>
          <w:top w:val="single" w:sz="4" w:space="1" w:color="000000"/>
          <w:left w:val="single" w:sz="4" w:space="4" w:color="000000"/>
          <w:bottom w:val="single" w:sz="4" w:space="1" w:color="000000"/>
          <w:right w:val="single" w:sz="4" w:space="4" w:color="000000"/>
        </w:pBdr>
        <w:ind w:left="993" w:right="990" w:hanging="0"/>
        <w:jc w:val="both"/>
        <w:rPr/>
      </w:pPr>
      <w:r>
        <w:rPr>
          <w:rFonts w:cs="Times New Roman" w:ascii="Arial" w:hAnsi="Arial"/>
          <w:b/>
          <w:sz w:val="24"/>
          <w:szCs w:val="24"/>
        </w:rPr>
        <w:t>La no concurrencia a cualquier etapa que haya sido comunicada o el no cumplimiento de los requisitos exigidos, implicará la automática descalificación del proceso de selección.</w:t>
      </w:r>
    </w:p>
    <w:p>
      <w:pPr>
        <w:pStyle w:val="Standard"/>
        <w:numPr>
          <w:ilvl w:val="0"/>
          <w:numId w:val="1"/>
        </w:numPr>
        <w:suppressAutoHyphens w:val="false"/>
        <w:spacing w:lineRule="auto" w:line="240" w:before="0" w:after="120"/>
        <w:ind w:left="284" w:hanging="284"/>
        <w:jc w:val="both"/>
        <w:rPr/>
      </w:pPr>
      <w:r>
        <w:rPr>
          <w:rFonts w:cs="Times New Roman" w:ascii="Arial" w:hAnsi="Arial"/>
          <w:b/>
          <w:sz w:val="24"/>
          <w:szCs w:val="24"/>
          <w:u w:val="single"/>
        </w:rPr>
        <w:t>Fallo</w:t>
      </w:r>
      <w:r>
        <w:rPr>
          <w:bCs/>
          <w:sz w:val="24"/>
          <w:szCs w:val="24"/>
          <w:u w:val="single"/>
        </w:rPr>
        <w:t xml:space="preserve"> </w:t>
      </w:r>
      <w:r>
        <w:rPr>
          <w:rFonts w:cs="Times New Roman" w:ascii="Arial" w:hAnsi="Arial"/>
          <w:b/>
          <w:sz w:val="24"/>
          <w:szCs w:val="24"/>
          <w:u w:val="single"/>
        </w:rPr>
        <w:t>Final</w:t>
      </w:r>
      <w:r>
        <w:rPr>
          <w:bCs/>
          <w:sz w:val="24"/>
          <w:szCs w:val="24"/>
          <w:u w:val="single"/>
        </w:rPr>
        <w:t xml:space="preserve"> </w:t>
      </w:r>
      <w:r>
        <w:rPr>
          <w:rFonts w:cs="Times New Roman" w:ascii="Arial" w:hAnsi="Arial"/>
          <w:b/>
          <w:sz w:val="24"/>
          <w:szCs w:val="24"/>
          <w:u w:val="single"/>
        </w:rPr>
        <w:t>y Aprobación</w:t>
      </w:r>
      <w:r>
        <w:rPr>
          <w:bCs/>
          <w:sz w:val="24"/>
          <w:szCs w:val="24"/>
          <w:u w:val="single"/>
        </w:rPr>
        <w:t xml:space="preserve"> </w:t>
      </w:r>
      <w:r>
        <w:rPr>
          <w:rFonts w:cs="Times New Roman" w:ascii="Arial" w:hAnsi="Arial"/>
          <w:b/>
          <w:sz w:val="24"/>
          <w:szCs w:val="24"/>
          <w:u w:val="single"/>
        </w:rPr>
        <w:t>por</w:t>
      </w:r>
      <w:r>
        <w:rPr>
          <w:bCs/>
          <w:sz w:val="24"/>
          <w:szCs w:val="24"/>
          <w:u w:val="single"/>
        </w:rPr>
        <w:t xml:space="preserve"> </w:t>
      </w:r>
      <w:r>
        <w:rPr>
          <w:rFonts w:cs="Times New Roman" w:ascii="Arial" w:hAnsi="Arial"/>
          <w:b/>
          <w:sz w:val="24"/>
          <w:szCs w:val="24"/>
          <w:u w:val="single"/>
        </w:rPr>
        <w:t>el</w:t>
      </w:r>
      <w:r>
        <w:rPr>
          <w:bCs/>
          <w:sz w:val="24"/>
          <w:szCs w:val="24"/>
          <w:u w:val="single"/>
        </w:rPr>
        <w:t xml:space="preserve"> </w:t>
      </w:r>
      <w:r>
        <w:rPr>
          <w:rFonts w:cs="Times New Roman" w:ascii="Arial" w:hAnsi="Arial"/>
          <w:b/>
          <w:sz w:val="24"/>
          <w:szCs w:val="24"/>
          <w:u w:val="single"/>
        </w:rPr>
        <w:t>Intendente</w:t>
      </w:r>
      <w:r>
        <w:rPr/>
        <w:t>.</w:t>
      </w:r>
    </w:p>
    <w:p>
      <w:pPr>
        <w:pStyle w:val="Standard"/>
        <w:spacing w:before="0" w:after="120"/>
        <w:ind w:left="284" w:hanging="0"/>
        <w:jc w:val="both"/>
        <w:rPr>
          <w:rFonts w:ascii="Arial" w:hAnsi="Arial" w:cs="Times New Roman"/>
          <w:sz w:val="24"/>
          <w:szCs w:val="24"/>
        </w:rPr>
      </w:pPr>
      <w:r>
        <w:rPr>
          <w:rFonts w:cs="Times New Roman" w:ascii="Arial" w:hAnsi="Arial"/>
          <w:sz w:val="24"/>
          <w:szCs w:val="24"/>
        </w:rPr>
        <w:t>Una vez cumplidas todas la etapas señaladas, se elaborará el listado final, con el respectivo “</w:t>
      </w:r>
      <w:r>
        <w:rPr>
          <w:rFonts w:cs="Times New Roman" w:ascii="Arial" w:hAnsi="Arial"/>
          <w:b/>
          <w:bCs/>
          <w:sz w:val="24"/>
          <w:szCs w:val="24"/>
        </w:rPr>
        <w:t>Orden de Prelación</w:t>
      </w:r>
      <w:r>
        <w:rPr>
          <w:rFonts w:cs="Times New Roman" w:ascii="Arial" w:hAnsi="Arial"/>
          <w:sz w:val="24"/>
          <w:szCs w:val="24"/>
        </w:rPr>
        <w:t>”, el que será elevado para su aprobación por el Sr. Intendente.</w:t>
      </w:r>
    </w:p>
    <w:p>
      <w:pPr>
        <w:pStyle w:val="Ttulo3"/>
        <w:numPr>
          <w:ilvl w:val="0"/>
          <w:numId w:val="4"/>
        </w:numPr>
        <w:ind w:left="284" w:hanging="284"/>
        <w:rPr/>
      </w:pPr>
      <w:r>
        <w:rPr/>
        <w:t>Comunicaciones y Notificaciones</w:t>
      </w:r>
    </w:p>
    <w:p>
      <w:pPr>
        <w:pStyle w:val="Standard"/>
        <w:jc w:val="both"/>
        <w:rPr/>
      </w:pPr>
      <w:r>
        <w:rPr>
          <w:rFonts w:cs="Times New Roman" w:ascii="Arial" w:hAnsi="Arial"/>
          <w:sz w:val="24"/>
          <w:szCs w:val="24"/>
        </w:rPr>
        <w:t>Todas las notificaciones y comunicaciones se realizarán a través de la página de la Intendencia de Salto (www.salto.gub.uy), siendo responsabilidad de los postulantes mantenerse informados de los resultados.</w:t>
      </w:r>
    </w:p>
    <w:p>
      <w:pPr>
        <w:pStyle w:val="Standard"/>
        <w:spacing w:before="0" w:after="160"/>
        <w:jc w:val="both"/>
        <w:rPr/>
      </w:pPr>
      <w:r>
        <w:rPr>
          <w:rFonts w:cs="Times New Roman" w:ascii="Arial" w:hAnsi="Arial"/>
          <w:sz w:val="24"/>
          <w:szCs w:val="24"/>
        </w:rPr>
        <w:t>Sin perjuicio de ello, se podrá implementar otro tipo de notificaciones para determinados casos concretos, si así se entiende pertinente. En este sentido, se podrá utilizar para su comunicación con los postulantes el correo electrónico o teléfono de contacto, como medios alternativos, pero no formales.</w:t>
      </w:r>
    </w:p>
    <w:sectPr>
      <w:headerReference w:type="default" r:id="rId2"/>
      <w:footerReference w:type="default" r:id="rId3"/>
      <w:type w:val="nextPage"/>
      <w:pgSz w:w="11906" w:h="16838"/>
      <w:pgMar w:left="1361" w:right="1021" w:header="567" w:top="2268" w:footer="465" w:bottom="1361"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Symbol">
    <w:charset w:val="01"/>
    <w:family w:val="roman"/>
    <w:pitch w:val="variable"/>
  </w:font>
  <w:font w:name="Liberation Sans">
    <w:altName w:val="Arial"/>
    <w:charset w:val="01"/>
    <w:family w:val="roman"/>
    <w:pitch w:val="variable"/>
  </w:font>
  <w:font w:name="Wingdings">
    <w:charset w:val="02"/>
    <w:family w:val="auto"/>
    <w:pitch w:val="variable"/>
  </w:font>
  <w:font w:name="Courier New">
    <w:charset w:val="01"/>
    <w:family w:val="auto"/>
    <w:pitch w:val="fixed"/>
  </w:font>
  <w:font w:name="Symbol">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jc w:val="center"/>
      <w:rPr/>
    </w:pPr>
    <w:r>
      <w:rPr/>
      <w:drawing>
        <wp:inline distT="0" distB="0" distL="0" distR="0">
          <wp:extent cx="5400040" cy="490220"/>
          <wp:effectExtent l="0" t="0" r="0" b="0"/>
          <wp:docPr id="2"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descr=""/>
                  <pic:cNvPicPr>
                    <a:picLocks noChangeAspect="1" noChangeArrowheads="1"/>
                  </pic:cNvPicPr>
                </pic:nvPicPr>
                <pic:blipFill>
                  <a:blip r:embed="rId1"/>
                  <a:stretch>
                    <a:fillRect/>
                  </a:stretch>
                </pic:blipFill>
                <pic:spPr bwMode="auto">
                  <a:xfrm>
                    <a:off x="0" y="0"/>
                    <a:ext cx="5400040" cy="49022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jc w:val="center"/>
      <w:rPr/>
    </w:pPr>
    <w:r>
      <w:rPr/>
      <w:drawing>
        <wp:inline distT="0" distB="0" distL="0" distR="0">
          <wp:extent cx="2432050" cy="798195"/>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2432050" cy="79819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502" w:hanging="360"/>
      </w:pPr>
      <w:rPr>
        <w:sz w:val="24"/>
        <w:b/>
        <w:szCs w:val="24"/>
        <w:rFonts w:ascii="Arial" w:hAnsi="Arial" w:cs="Times New Roman"/>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
    <w:lvl w:ilvl="0">
      <w:start w:val="1"/>
      <w:numFmt w:val="bullet"/>
      <w:lvlText w:val=""/>
      <w:lvlJc w:val="left"/>
      <w:pPr>
        <w:ind w:left="720" w:hanging="360"/>
      </w:pPr>
      <w:rPr>
        <w:rFonts w:ascii="Wingdings" w:hAnsi="Wingdings" w:cs="Wingdings" w:hint="default"/>
        <w:b/>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lowerRoman"/>
      <w:lvlText w:val="%1."/>
      <w:lvlJc w:val="righ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10"/>
  <w:defaultTabStop w:val="708"/>
  <w:autoHyphenation w:val="fals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s-ES"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F"/>
        <w:szCs w:val="22"/>
        <w:lang w:val="es-UY"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a316b"/>
    <w:pPr>
      <w:widowControl w:val="false"/>
      <w:suppressAutoHyphens w:val="true"/>
      <w:bidi w:val="0"/>
      <w:spacing w:lineRule="auto" w:line="300" w:before="0" w:after="0"/>
      <w:jc w:val="both"/>
      <w:textAlignment w:val="baseline"/>
    </w:pPr>
    <w:rPr>
      <w:rFonts w:ascii="Arial" w:hAnsi="Arial" w:eastAsia="Calibri" w:cs="Arial"/>
      <w:color w:val="auto"/>
      <w:kern w:val="0"/>
      <w:sz w:val="24"/>
      <w:szCs w:val="24"/>
      <w:lang w:val="es-UY" w:eastAsia="es-ES" w:bidi="ar-SA"/>
    </w:rPr>
  </w:style>
  <w:style w:type="paragraph" w:styleId="Ttulo2">
    <w:name w:val="Heading 2"/>
    <w:basedOn w:val="Normal"/>
    <w:next w:val="Normal"/>
    <w:link w:val="Ttulo2Car"/>
    <w:uiPriority w:val="9"/>
    <w:unhideWhenUsed/>
    <w:qFormat/>
    <w:rsid w:val="00371b8a"/>
    <w:pPr>
      <w:keepNext w:val="true"/>
      <w:keepLines/>
      <w:spacing w:before="240" w:after="0"/>
      <w:ind w:left="284" w:hanging="284"/>
      <w:outlineLvl w:val="1"/>
    </w:pPr>
    <w:rPr>
      <w:rFonts w:eastAsia="" w:eastAsiaTheme="majorEastAsia"/>
      <w:b/>
      <w:bCs/>
      <w:caps/>
      <w:sz w:val="28"/>
      <w:szCs w:val="28"/>
    </w:rPr>
  </w:style>
  <w:style w:type="paragraph" w:styleId="Ttulo3">
    <w:name w:val="Heading 3"/>
    <w:basedOn w:val="Normal"/>
    <w:next w:val="Normal"/>
    <w:link w:val="Ttulo3Car"/>
    <w:uiPriority w:val="9"/>
    <w:unhideWhenUsed/>
    <w:qFormat/>
    <w:rsid w:val="00d869b1"/>
    <w:pPr>
      <w:widowControl w:val="false"/>
      <w:bidi w:val="0"/>
      <w:spacing w:before="120" w:after="0"/>
      <w:ind w:left="426" w:hanging="426"/>
      <w:jc w:val="both"/>
      <w:outlineLvl w:val="2"/>
    </w:pPr>
    <w:rPr>
      <w:rFonts w:ascii="Arial" w:hAnsi="Arial" w:eastAsia="Calibri" w:cs="Times New Roman"/>
      <w:b/>
      <w:bCs/>
      <w:color w:val="auto"/>
      <w:kern w:val="0"/>
      <w:sz w:val="28"/>
      <w:szCs w:val="28"/>
      <w:lang w:val="es-UY"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qFormat/>
    <w:rPr/>
  </w:style>
  <w:style w:type="character" w:styleId="PiedepginaCar" w:customStyle="1">
    <w:name w:val="Pie de página Car"/>
    <w:basedOn w:val="DefaultParagraphFont"/>
    <w:qFormat/>
    <w:rPr/>
  </w:style>
  <w:style w:type="character" w:styleId="WW8Num3z0" w:customStyle="1">
    <w:name w:val="WW8Num3z0"/>
    <w:qFormat/>
    <w:rPr>
      <w:rFonts w:ascii="Symbol" w:hAnsi="Symbol" w:eastAsia="Symbol" w:cs="Symbol"/>
    </w:rPr>
  </w:style>
  <w:style w:type="character" w:styleId="WW8Num1z0" w:customStyle="1">
    <w:name w:val="WW8Num1z0"/>
    <w:qFormat/>
    <w:rPr>
      <w:rFonts w:ascii="Symbol" w:hAnsi="Symbol" w:eastAsia="Symbol" w:cs="Symbol"/>
    </w:rPr>
  </w:style>
  <w:style w:type="character" w:styleId="WW8Num2z0" w:customStyle="1">
    <w:name w:val="WW8Num2z0"/>
    <w:qFormat/>
    <w:rPr>
      <w:rFonts w:ascii="Symbol" w:hAnsi="Symbol" w:eastAsia="Symbol" w:cs="Symbol"/>
      <w:sz w:val="28"/>
      <w:szCs w:val="28"/>
    </w:rPr>
  </w:style>
  <w:style w:type="character" w:styleId="Ttulo2Car" w:customStyle="1">
    <w:name w:val="Título 2 Car"/>
    <w:basedOn w:val="DefaultParagraphFont"/>
    <w:uiPriority w:val="9"/>
    <w:qFormat/>
    <w:rsid w:val="00371b8a"/>
    <w:rPr>
      <w:rFonts w:ascii="Arial" w:hAnsi="Arial" w:eastAsia="" w:cs="Arial" w:eastAsiaTheme="majorEastAsia"/>
      <w:b/>
      <w:bCs/>
      <w:caps/>
      <w:sz w:val="28"/>
      <w:szCs w:val="28"/>
      <w:lang w:eastAsia="es-ES"/>
    </w:rPr>
  </w:style>
  <w:style w:type="character" w:styleId="ItemsCar" w:customStyle="1">
    <w:name w:val="Items Car"/>
    <w:basedOn w:val="DefaultParagraphFont"/>
    <w:link w:val="Items"/>
    <w:qFormat/>
    <w:rsid w:val="009c25ea"/>
    <w:rPr>
      <w:rFonts w:ascii="Arial" w:hAnsi="Arial" w:cs="Arial"/>
      <w:sz w:val="24"/>
      <w:szCs w:val="24"/>
      <w:lang w:eastAsia="es-ES"/>
    </w:rPr>
  </w:style>
  <w:style w:type="character" w:styleId="Ttulo3Car" w:customStyle="1">
    <w:name w:val="Título 3 Car"/>
    <w:basedOn w:val="DefaultParagraphFont"/>
    <w:uiPriority w:val="9"/>
    <w:qFormat/>
    <w:rsid w:val="00d869b1"/>
    <w:rPr>
      <w:rFonts w:ascii="Arial" w:hAnsi="Arial" w:cs="Times New Roman"/>
      <w:b/>
      <w:bCs/>
      <w:sz w:val="28"/>
      <w:szCs w:val="28"/>
    </w:rPr>
  </w:style>
  <w:style w:type="character" w:styleId="ListLabel1">
    <w:name w:val="ListLabel 1"/>
    <w:qFormat/>
    <w:rPr>
      <w:rFonts w:ascii="Arial" w:hAnsi="Arial" w:cs="Times New Roman"/>
      <w:b/>
      <w:sz w:val="24"/>
      <w:szCs w:val="24"/>
    </w:rPr>
  </w:style>
  <w:style w:type="character" w:styleId="ListLabel2">
    <w:name w:val="ListLabel 2"/>
    <w:qFormat/>
    <w:rPr>
      <w:rFonts w:cs="Wingdings"/>
      <w:b/>
    </w:rPr>
  </w:style>
  <w:style w:type="character" w:styleId="ListLabel3">
    <w:name w:val="ListLabel 3"/>
    <w:qFormat/>
    <w:rPr>
      <w:rFonts w:cs="Courier New"/>
    </w:rPr>
  </w:style>
  <w:style w:type="character" w:styleId="ListLabel4">
    <w:name w:val="ListLabel 4"/>
    <w:qFormat/>
    <w:rPr>
      <w:rFonts w:cs="Wingdings"/>
    </w:rPr>
  </w:style>
  <w:style w:type="character" w:styleId="ListLabel5">
    <w:name w:val="ListLabel 5"/>
    <w:qFormat/>
    <w:rPr>
      <w:rFonts w:cs="Symbol"/>
    </w:rPr>
  </w:style>
  <w:style w:type="character" w:styleId="ListLabel6">
    <w:name w:val="ListLabel 6"/>
    <w:qFormat/>
    <w:rPr>
      <w:rFonts w:cs="Courier New"/>
    </w:rPr>
  </w:style>
  <w:style w:type="character" w:styleId="ListLabel7">
    <w:name w:val="ListLabel 7"/>
    <w:qFormat/>
    <w:rPr>
      <w:rFonts w:cs="Wingdings"/>
    </w:rPr>
  </w:style>
  <w:style w:type="character" w:styleId="ListLabel8">
    <w:name w:val="ListLabel 8"/>
    <w:qFormat/>
    <w:rPr>
      <w:rFonts w:cs="Symbol"/>
    </w:rPr>
  </w:style>
  <w:style w:type="character" w:styleId="ListLabel9">
    <w:name w:val="ListLabel 9"/>
    <w:qFormat/>
    <w:rPr>
      <w:rFonts w:cs="Courier New"/>
    </w:rPr>
  </w:style>
  <w:style w:type="character" w:styleId="ListLabel10">
    <w:name w:val="ListLabel 10"/>
    <w:qFormat/>
    <w:rPr>
      <w:rFonts w:cs="Wingdings"/>
    </w:rPr>
  </w:style>
  <w:style w:type="character" w:styleId="ListLabel11">
    <w:name w:val="ListLabel 11"/>
    <w:qFormat/>
    <w:rPr>
      <w:rFonts w:cs="Symbol"/>
    </w:rPr>
  </w:style>
  <w:style w:type="character" w:styleId="ListLabel12">
    <w:name w:val="ListLabel 12"/>
    <w:qFormat/>
    <w:rPr>
      <w:rFonts w:cs="Courier New"/>
    </w:rPr>
  </w:style>
  <w:style w:type="character" w:styleId="ListLabel13">
    <w:name w:val="ListLabel 13"/>
    <w:qFormat/>
    <w:rPr>
      <w:rFonts w:cs="Wingdings"/>
    </w:rPr>
  </w:style>
  <w:style w:type="character" w:styleId="ListLabel14">
    <w:name w:val="ListLabel 14"/>
    <w:qFormat/>
    <w:rPr>
      <w:rFonts w:cs="Symbol"/>
    </w:rPr>
  </w:style>
  <w:style w:type="character" w:styleId="ListLabel15">
    <w:name w:val="ListLabel 15"/>
    <w:qFormat/>
    <w:rPr>
      <w:rFonts w:cs="Courier New"/>
    </w:rPr>
  </w:style>
  <w:style w:type="character" w:styleId="ListLabel16">
    <w:name w:val="ListLabel 16"/>
    <w:qFormat/>
    <w:rPr>
      <w:rFonts w:cs="Wingdings"/>
    </w:rPr>
  </w:style>
  <w:style w:type="character" w:styleId="ListLabel17">
    <w:name w:val="ListLabel 17"/>
    <w:qFormat/>
    <w:rPr>
      <w:rFonts w:cs="Symbol"/>
    </w:rPr>
  </w:style>
  <w:style w:type="character" w:styleId="ListLabel18">
    <w:name w:val="ListLabel 18"/>
    <w:qFormat/>
    <w:rPr>
      <w:rFonts w:cs="Courier New"/>
    </w:rPr>
  </w:style>
  <w:style w:type="character" w:styleId="ListLabel19">
    <w:name w:val="ListLabel 19"/>
    <w:qFormat/>
    <w:rPr>
      <w:rFonts w:cs="Wingdings"/>
    </w:rPr>
  </w:style>
  <w:style w:type="character" w:styleId="ListLabel20">
    <w:name w:val="ListLabel 20"/>
    <w:qFormat/>
    <w:rPr>
      <w:rFonts w:ascii="Arial" w:hAnsi="Arial" w:cs="Times New Roman"/>
      <w:b/>
      <w:sz w:val="24"/>
      <w:szCs w:val="24"/>
    </w:rPr>
  </w:style>
  <w:style w:type="character" w:styleId="ListLabel21">
    <w:name w:val="ListLabel 21"/>
    <w:qFormat/>
    <w:rPr>
      <w:rFonts w:cs="Wingdings"/>
      <w:b/>
    </w:rPr>
  </w:style>
  <w:style w:type="character" w:styleId="ListLabel22">
    <w:name w:val="ListLabel 22"/>
    <w:qFormat/>
    <w:rPr>
      <w:rFonts w:cs="Courier New"/>
    </w:rPr>
  </w:style>
  <w:style w:type="character" w:styleId="ListLabel23">
    <w:name w:val="ListLabel 23"/>
    <w:qFormat/>
    <w:rPr>
      <w:rFonts w:cs="Wingdings"/>
    </w:rPr>
  </w:style>
  <w:style w:type="character" w:styleId="ListLabel24">
    <w:name w:val="ListLabel 24"/>
    <w:qFormat/>
    <w:rPr>
      <w:rFonts w:cs="Symbol"/>
    </w:rPr>
  </w:style>
  <w:style w:type="character" w:styleId="ListLabel25">
    <w:name w:val="ListLabel 25"/>
    <w:qFormat/>
    <w:rPr>
      <w:rFonts w:cs="Courier New"/>
    </w:rPr>
  </w:style>
  <w:style w:type="character" w:styleId="ListLabel26">
    <w:name w:val="ListLabel 26"/>
    <w:qFormat/>
    <w:rPr>
      <w:rFonts w:cs="Wingdings"/>
    </w:rPr>
  </w:style>
  <w:style w:type="character" w:styleId="ListLabel27">
    <w:name w:val="ListLabel 27"/>
    <w:qFormat/>
    <w:rPr>
      <w:rFonts w:cs="Symbol"/>
    </w:rPr>
  </w:style>
  <w:style w:type="character" w:styleId="ListLabel28">
    <w:name w:val="ListLabel 28"/>
    <w:qFormat/>
    <w:rPr>
      <w:rFonts w:cs="Courier New"/>
    </w:rPr>
  </w:style>
  <w:style w:type="character" w:styleId="ListLabel29">
    <w:name w:val="ListLabel 29"/>
    <w:qFormat/>
    <w:rPr>
      <w:rFonts w:cs="Wingdings"/>
    </w:rPr>
  </w:style>
  <w:style w:type="character" w:styleId="ListLabel30">
    <w:name w:val="ListLabel 30"/>
    <w:qFormat/>
    <w:rPr>
      <w:rFonts w:cs="Symbol"/>
    </w:rPr>
  </w:style>
  <w:style w:type="character" w:styleId="ListLabel31">
    <w:name w:val="ListLabel 31"/>
    <w:qFormat/>
    <w:rPr>
      <w:rFonts w:cs="Courier New"/>
    </w:rPr>
  </w:style>
  <w:style w:type="character" w:styleId="ListLabel32">
    <w:name w:val="ListLabel 32"/>
    <w:qFormat/>
    <w:rPr>
      <w:rFonts w:cs="Wingdings"/>
    </w:rPr>
  </w:style>
  <w:style w:type="character" w:styleId="ListLabel33">
    <w:name w:val="ListLabel 33"/>
    <w:qFormat/>
    <w:rPr>
      <w:rFonts w:cs="Symbol"/>
    </w:rPr>
  </w:style>
  <w:style w:type="character" w:styleId="ListLabel34">
    <w:name w:val="ListLabel 34"/>
    <w:qFormat/>
    <w:rPr>
      <w:rFonts w:cs="Courier New"/>
    </w:rPr>
  </w:style>
  <w:style w:type="character" w:styleId="ListLabel35">
    <w:name w:val="ListLabel 35"/>
    <w:qFormat/>
    <w:rPr>
      <w:rFonts w:cs="Wingdings"/>
    </w:rPr>
  </w:style>
  <w:style w:type="character" w:styleId="ListLabel36">
    <w:name w:val="ListLabel 36"/>
    <w:qFormat/>
    <w:rPr>
      <w:rFonts w:cs="Symbol"/>
    </w:rPr>
  </w:style>
  <w:style w:type="character" w:styleId="ListLabel37">
    <w:name w:val="ListLabel 37"/>
    <w:qFormat/>
    <w:rPr>
      <w:rFonts w:cs="Courier New"/>
    </w:rPr>
  </w:style>
  <w:style w:type="character" w:styleId="ListLabel38">
    <w:name w:val="ListLabel 38"/>
    <w:qFormat/>
    <w:rPr>
      <w:rFonts w:cs="Wingdings"/>
    </w:rPr>
  </w:style>
  <w:style w:type="paragraph" w:styleId="Ttulo" w:customStyle="1">
    <w:name w:val="Título"/>
    <w:basedOn w:val="Normal"/>
    <w:next w:val="Textbody"/>
    <w:qFormat/>
    <w:pPr>
      <w:keepNext w:val="true"/>
      <w:widowControl w:val="false"/>
      <w:bidi w:val="0"/>
      <w:spacing w:before="240" w:after="120"/>
      <w:jc w:val="left"/>
    </w:pPr>
    <w:rPr>
      <w:rFonts w:ascii="Liberation Sans" w:hAnsi="Liberation Sans" w:eastAsia="DejaVu Sans" w:cs="FreeSans"/>
      <w:color w:val="auto"/>
      <w:kern w:val="0"/>
      <w:sz w:val="28"/>
      <w:szCs w:val="28"/>
      <w:lang w:val="es-UY" w:eastAsia="en-US" w:bidi="ar-SA"/>
    </w:rPr>
  </w:style>
  <w:style w:type="paragraph" w:styleId="Cuerpodetexto">
    <w:name w:val="Body Text"/>
    <w:basedOn w:val="Normal"/>
    <w:pPr>
      <w:spacing w:lineRule="auto" w:line="276" w:before="0" w:after="140"/>
    </w:pPr>
    <w:rPr/>
  </w:style>
  <w:style w:type="paragraph" w:styleId="Lista">
    <w:name w:val="List"/>
    <w:basedOn w:val="Normal"/>
    <w:pPr>
      <w:widowControl w:val="false"/>
      <w:bidi w:val="0"/>
      <w:jc w:val="left"/>
    </w:pPr>
    <w:rPr>
      <w:rFonts w:ascii="Calibri" w:hAnsi="Calibri" w:eastAsia="Calibri" w:cs="FreeSans"/>
      <w:color w:val="auto"/>
      <w:kern w:val="0"/>
      <w:sz w:val="24"/>
      <w:szCs w:val="22"/>
      <w:lang w:val="es-UY" w:eastAsia="en-US" w:bidi="ar-SA"/>
    </w:rPr>
  </w:style>
  <w:style w:type="paragraph" w:styleId="Leyenda">
    <w:name w:val="Caption"/>
    <w:basedOn w:val="Normal"/>
    <w:qFormat/>
    <w:pPr>
      <w:widowControl w:val="false"/>
      <w:suppressLineNumbers/>
      <w:bidi w:val="0"/>
      <w:spacing w:before="120" w:after="120"/>
      <w:jc w:val="left"/>
    </w:pPr>
    <w:rPr>
      <w:rFonts w:ascii="Calibri" w:hAnsi="Calibri" w:eastAsia="Calibri" w:cs="FreeSans"/>
      <w:i/>
      <w:iCs/>
      <w:color w:val="auto"/>
      <w:kern w:val="0"/>
      <w:sz w:val="24"/>
      <w:szCs w:val="24"/>
      <w:lang w:val="es-UY" w:eastAsia="en-US" w:bidi="ar-SA"/>
    </w:rPr>
  </w:style>
  <w:style w:type="paragraph" w:styleId="Ndice" w:customStyle="1">
    <w:name w:val="Índice"/>
    <w:basedOn w:val="Normal"/>
    <w:qFormat/>
    <w:pPr>
      <w:widowControl w:val="false"/>
      <w:suppressLineNumbers/>
      <w:bidi w:val="0"/>
      <w:jc w:val="left"/>
    </w:pPr>
    <w:rPr>
      <w:rFonts w:ascii="Calibri" w:hAnsi="Calibri" w:eastAsia="Calibri" w:cs="FreeSans"/>
      <w:color w:val="auto"/>
      <w:kern w:val="0"/>
      <w:sz w:val="24"/>
      <w:szCs w:val="22"/>
      <w:lang w:val="es-UY" w:eastAsia="en-US" w:bidi="ar-SA"/>
    </w:rPr>
  </w:style>
  <w:style w:type="paragraph" w:styleId="Standard" w:customStyle="1">
    <w:name w:val="Standard"/>
    <w:qFormat/>
    <w:pPr>
      <w:widowControl/>
      <w:suppressAutoHyphens w:val="true"/>
      <w:bidi w:val="0"/>
      <w:spacing w:lineRule="auto" w:line="259" w:before="0" w:after="160"/>
      <w:jc w:val="left"/>
      <w:textAlignment w:val="baseline"/>
    </w:pPr>
    <w:rPr>
      <w:rFonts w:ascii="Calibri" w:hAnsi="Calibri" w:eastAsia="Calibri" w:cs="F"/>
      <w:color w:val="auto"/>
      <w:kern w:val="0"/>
      <w:sz w:val="22"/>
      <w:szCs w:val="22"/>
      <w:lang w:val="es-UY" w:eastAsia="en-US" w:bidi="ar-SA"/>
    </w:rPr>
  </w:style>
  <w:style w:type="paragraph" w:styleId="Textbody" w:customStyle="1">
    <w:name w:val="Text body"/>
    <w:basedOn w:val="Standard"/>
    <w:qFormat/>
    <w:pPr>
      <w:spacing w:lineRule="auto" w:line="276" w:before="0" w:after="140"/>
    </w:pPr>
    <w:rPr/>
  </w:style>
  <w:style w:type="paragraph" w:styleId="HeaderandFooter">
    <w:name w:val="Header and Footer"/>
    <w:basedOn w:val="Normal"/>
    <w:qFormat/>
    <w:pPr/>
    <w:rPr/>
  </w:style>
  <w:style w:type="paragraph" w:styleId="Cabecera">
    <w:name w:val="Header"/>
    <w:basedOn w:val="Standard"/>
    <w:pPr>
      <w:tabs>
        <w:tab w:val="clear" w:pos="708"/>
        <w:tab w:val="center" w:pos="4252" w:leader="none"/>
        <w:tab w:val="right" w:pos="8504" w:leader="none"/>
      </w:tabs>
      <w:spacing w:lineRule="auto" w:line="240" w:before="0" w:after="0"/>
    </w:pPr>
    <w:rPr/>
  </w:style>
  <w:style w:type="paragraph" w:styleId="Piedepgina">
    <w:name w:val="Footer"/>
    <w:basedOn w:val="Standard"/>
    <w:pPr>
      <w:tabs>
        <w:tab w:val="clear" w:pos="708"/>
        <w:tab w:val="center" w:pos="4252" w:leader="none"/>
        <w:tab w:val="right" w:pos="8504" w:leader="none"/>
      </w:tabs>
      <w:spacing w:lineRule="auto" w:line="240" w:before="0" w:after="0"/>
    </w:pPr>
    <w:rPr/>
  </w:style>
  <w:style w:type="paragraph" w:styleId="ListParagraph">
    <w:name w:val="List Paragraph"/>
    <w:basedOn w:val="Standard"/>
    <w:qFormat/>
    <w:pPr>
      <w:spacing w:before="0" w:after="200"/>
      <w:ind w:left="720" w:hanging="0"/>
    </w:pPr>
    <w:rPr/>
  </w:style>
  <w:style w:type="paragraph" w:styleId="Items" w:customStyle="1">
    <w:name w:val="Items"/>
    <w:basedOn w:val="Normal"/>
    <w:link w:val="ItemsCar"/>
    <w:qFormat/>
    <w:rsid w:val="009c25ea"/>
    <w:pPr>
      <w:spacing w:before="120" w:after="0"/>
    </w:pPr>
    <w:rPr/>
  </w:style>
  <w:style w:type="numbering" w:styleId="Ningunalista" w:default="1">
    <w:name w:val="Ninguna lista"/>
    <w:uiPriority w:val="99"/>
    <w:semiHidden/>
    <w:unhideWhenUsed/>
    <w:qFormat/>
  </w:style>
  <w:style w:type="numbering" w:styleId="Sinlista1" w:customStyle="1">
    <w:name w:val="Sin lista1"/>
    <w:qFormat/>
  </w:style>
  <w:style w:type="numbering" w:styleId="WW8Num3" w:customStyle="1">
    <w:name w:val="WW8Num3"/>
    <w:qFormat/>
  </w:style>
  <w:style w:type="numbering" w:styleId="WW8Num1" w:customStyle="1">
    <w:name w:val="WW8Num1"/>
    <w:qFormat/>
  </w:style>
  <w:style w:type="numbering" w:styleId="WW8Num2" w:customStyle="1">
    <w:name w:val="WW8Num2"/>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371b8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59509-03A0-4525-AB63-CC2E95D4B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Application>LibreOffice/6.1.5.2$Linux_X86_64 LibreOffice_project/10$Build-2</Application>
  <Pages>5</Pages>
  <Words>1262</Words>
  <Characters>6854</Characters>
  <CharactersWithSpaces>8008</CharactersWithSpaces>
  <Paragraphs>81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2026-02-19T19:42:00Z</dcterms:created>
  <dc:creator>Serena</dc:creator>
  <dc:description/>
  <dc:language>es-UY</dc:language>
  <cp:lastModifiedBy/>
  <cp:lastPrinted>2026-02-25T11:55:00Z</cp:lastPrinted>
  <dcterms:modified xsi:type="dcterms:W3CDTF">2026-03-18T14:04:59Z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